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0"/>
        <w:rPr>
          <w:rFonts w:ascii="Times New Roman"/>
          <w:sz w:val="20"/>
        </w:rPr>
      </w:pPr>
    </w:p>
    <w:p>
      <w:pPr>
        <w:pStyle w:val="BodyText"/>
        <w:ind w:left="0"/>
        <w:rPr>
          <w:rFonts w:ascii="Times New Roman"/>
          <w:sz w:val="20"/>
        </w:rPr>
      </w:pPr>
    </w:p>
    <w:p>
      <w:pPr>
        <w:pStyle w:val="BodyText"/>
        <w:ind w:left="0"/>
        <w:rPr>
          <w:rFonts w:ascii="Times New Roman"/>
          <w:sz w:val="20"/>
        </w:rPr>
      </w:pPr>
    </w:p>
    <w:p>
      <w:pPr>
        <w:pStyle w:val="BodyText"/>
        <w:ind w:left="0"/>
        <w:rPr>
          <w:rFonts w:ascii="Times New Roman"/>
          <w:sz w:val="20"/>
        </w:rPr>
      </w:pPr>
    </w:p>
    <w:p>
      <w:pPr>
        <w:pStyle w:val="BodyText"/>
        <w:ind w:left="0"/>
        <w:rPr>
          <w:rFonts w:ascii="Times New Roman"/>
          <w:sz w:val="20"/>
        </w:rPr>
      </w:pPr>
    </w:p>
    <w:p>
      <w:pPr>
        <w:pStyle w:val="BodyText"/>
        <w:ind w:left="0"/>
        <w:rPr>
          <w:rFonts w:ascii="Times New Roman"/>
          <w:sz w:val="20"/>
        </w:rPr>
      </w:pPr>
    </w:p>
    <w:p>
      <w:pPr>
        <w:pStyle w:val="BodyText"/>
        <w:ind w:left="0"/>
        <w:rPr>
          <w:rFonts w:ascii="Times New Roman"/>
          <w:sz w:val="20"/>
        </w:rPr>
      </w:pPr>
    </w:p>
    <w:p>
      <w:pPr>
        <w:pStyle w:val="BodyText"/>
        <w:ind w:left="0"/>
        <w:rPr>
          <w:rFonts w:ascii="Times New Roman"/>
          <w:sz w:val="20"/>
        </w:rPr>
      </w:pPr>
    </w:p>
    <w:p>
      <w:pPr>
        <w:pStyle w:val="BodyText"/>
        <w:ind w:left="0"/>
        <w:rPr>
          <w:rFonts w:ascii="Times New Roman"/>
          <w:sz w:val="20"/>
        </w:rPr>
      </w:pPr>
    </w:p>
    <w:p>
      <w:pPr>
        <w:pStyle w:val="BodyText"/>
        <w:spacing w:before="5"/>
        <w:ind w:left="0"/>
        <w:rPr>
          <w:rFonts w:ascii="Times New Roman"/>
          <w:sz w:val="18"/>
        </w:rPr>
      </w:pPr>
    </w:p>
    <w:p>
      <w:pPr>
        <w:spacing w:line="235" w:lineRule="auto" w:before="65"/>
        <w:ind w:left="833" w:right="1151" w:firstLine="0"/>
        <w:jc w:val="both"/>
        <w:rPr>
          <w:rFonts w:ascii="PMingLiU" w:eastAsia="PMingLiU" w:hint="eastAsia"/>
          <w:sz w:val="44"/>
        </w:rPr>
      </w:pPr>
      <w:r>
        <w:rPr>
          <w:rFonts w:ascii="PMingLiU" w:eastAsia="PMingLiU" w:hint="eastAsia"/>
          <w:sz w:val="44"/>
        </w:rPr>
        <w:t>黑龙江省教育厅关于开展第二批省级一流本科课程认定暨遴选推荐第二批国家级一流本科课程工作的预通知</w:t>
      </w:r>
    </w:p>
    <w:p>
      <w:pPr>
        <w:pStyle w:val="BodyText"/>
        <w:spacing w:before="5"/>
        <w:ind w:left="0"/>
        <w:rPr>
          <w:rFonts w:ascii="PMingLiU"/>
          <w:sz w:val="50"/>
        </w:rPr>
      </w:pPr>
    </w:p>
    <w:p>
      <w:pPr>
        <w:pStyle w:val="BodyText"/>
      </w:pPr>
      <w:r>
        <w:rPr/>
        <w:t>各本科高等学校：</w:t>
      </w:r>
    </w:p>
    <w:p>
      <w:pPr>
        <w:pStyle w:val="BodyText"/>
        <w:spacing w:line="350" w:lineRule="auto" w:before="190"/>
        <w:ind w:right="414" w:firstLine="638"/>
        <w:jc w:val="both"/>
      </w:pPr>
      <w:r>
        <w:rPr>
          <w:spacing w:val="-13"/>
        </w:rPr>
        <w:t>按照《教育部办公厅关于开展第二批国家级一流本科课程</w:t>
      </w:r>
      <w:r>
        <w:rPr>
          <w:spacing w:val="-33"/>
        </w:rPr>
        <w:t>认定工作的通知》</w:t>
      </w:r>
      <w:r>
        <w:rPr/>
        <w:t>（</w:t>
      </w:r>
      <w:r>
        <w:rPr>
          <w:spacing w:val="-3"/>
        </w:rPr>
        <w:t>教高厅函〔</w:t>
      </w:r>
      <w:r>
        <w:rPr/>
        <w:t>2021</w:t>
      </w:r>
      <w:r>
        <w:rPr>
          <w:spacing w:val="-12"/>
        </w:rPr>
        <w:t>〕</w:t>
      </w:r>
      <w:r>
        <w:rPr/>
        <w:t>13</w:t>
      </w:r>
      <w:r>
        <w:rPr>
          <w:spacing w:val="-45"/>
        </w:rPr>
        <w:t> 号</w:t>
      </w:r>
      <w:r>
        <w:rPr>
          <w:spacing w:val="-10"/>
        </w:rPr>
        <w:t>）</w:t>
      </w:r>
      <w:r>
        <w:rPr>
          <w:spacing w:val="-3"/>
        </w:rPr>
        <w:t>和《教育部关于</w:t>
      </w:r>
      <w:r>
        <w:rPr>
          <w:spacing w:val="-7"/>
        </w:rPr>
        <w:t>一流本科课程建设的实施意见》</w:t>
      </w:r>
      <w:r>
        <w:rPr>
          <w:spacing w:val="5"/>
        </w:rPr>
        <w:t>（教高〔</w:t>
      </w:r>
      <w:r>
        <w:rPr/>
        <w:t>2019</w:t>
      </w:r>
      <w:r>
        <w:rPr>
          <w:spacing w:val="5"/>
        </w:rPr>
        <w:t>〕</w:t>
      </w:r>
      <w:r>
        <w:rPr/>
        <w:t>8</w:t>
      </w:r>
      <w:r>
        <w:rPr>
          <w:spacing w:val="-45"/>
        </w:rPr>
        <w:t> 号</w:t>
      </w:r>
      <w:r>
        <w:rPr>
          <w:spacing w:val="5"/>
        </w:rPr>
        <w:t>）</w:t>
      </w:r>
      <w:r>
        <w:rPr>
          <w:spacing w:val="3"/>
        </w:rPr>
        <w:t>要求， </w:t>
      </w:r>
      <w:r>
        <w:rPr>
          <w:spacing w:val="6"/>
          <w:w w:val="95"/>
        </w:rPr>
        <w:t>决定开展第二批省级一流本科课程认定和第二批国家级一流 </w:t>
      </w:r>
      <w:r>
        <w:rPr>
          <w:spacing w:val="6"/>
        </w:rPr>
        <w:t>课程遴选推荐工作，现将有关事项通知如下：</w:t>
      </w:r>
    </w:p>
    <w:p>
      <w:pPr>
        <w:pStyle w:val="BodyText"/>
        <w:spacing w:before="7"/>
        <w:ind w:left="740"/>
        <w:rPr>
          <w:rFonts w:ascii="黑体" w:eastAsia="黑体" w:hint="eastAsia"/>
        </w:rPr>
      </w:pPr>
      <w:r>
        <w:rPr>
          <w:rFonts w:ascii="黑体" w:eastAsia="黑体" w:hint="eastAsia"/>
        </w:rPr>
        <w:t>一、申报范围</w:t>
      </w:r>
    </w:p>
    <w:p>
      <w:pPr>
        <w:pStyle w:val="BodyText"/>
        <w:spacing w:line="350" w:lineRule="auto" w:before="190"/>
        <w:ind w:right="286" w:firstLine="638"/>
      </w:pPr>
      <w:r>
        <w:rPr>
          <w:spacing w:val="-1"/>
        </w:rPr>
        <w:t>普通本科高校纳入人才培养方案且设置学分的本科课程， </w:t>
      </w:r>
      <w:r>
        <w:rPr>
          <w:spacing w:val="-10"/>
        </w:rPr>
        <w:t>包括思想政治理论课、公共基础课、专业基础课、专业课以及</w:t>
      </w:r>
      <w:r>
        <w:rPr>
          <w:spacing w:val="-17"/>
        </w:rPr>
        <w:t>通识课等独立设置的本科理论课程、实验课程和社会实践课程</w:t>
      </w:r>
      <w:r>
        <w:rPr>
          <w:spacing w:val="-13"/>
        </w:rPr>
        <w:t>等。高等职业院校课程不在此次申报推荐范围内。第二批省级</w:t>
      </w:r>
      <w:r>
        <w:rPr>
          <w:spacing w:val="-18"/>
        </w:rPr>
        <w:t>一流课程认定面向省内本科高校，第二批国家级一流课程推荐仅面向省属本科高校。</w:t>
      </w:r>
    </w:p>
    <w:p>
      <w:pPr>
        <w:pStyle w:val="BodyText"/>
        <w:spacing w:before="9"/>
        <w:ind w:left="740"/>
      </w:pPr>
      <w:r>
        <w:rPr>
          <w:spacing w:val="-17"/>
        </w:rPr>
        <w:t>已认定为 </w:t>
      </w:r>
      <w:r>
        <w:rPr/>
        <w:t>2017</w:t>
      </w:r>
      <w:r>
        <w:rPr>
          <w:spacing w:val="-50"/>
        </w:rPr>
        <w:t> 年、</w:t>
      </w:r>
      <w:r>
        <w:rPr/>
        <w:t>2018</w:t>
      </w:r>
      <w:r>
        <w:rPr>
          <w:spacing w:val="-50"/>
        </w:rPr>
        <w:t> 年、</w:t>
      </w:r>
      <w:r>
        <w:rPr/>
        <w:t>2019</w:t>
      </w:r>
      <w:r>
        <w:rPr>
          <w:spacing w:val="-10"/>
        </w:rPr>
        <w:t> 年度黑龙江省精品在线</w:t>
      </w:r>
    </w:p>
    <w:p>
      <w:pPr>
        <w:spacing w:after="0"/>
        <w:sectPr>
          <w:footerReference w:type="default" r:id="rId5"/>
          <w:type w:val="continuous"/>
          <w:pgSz w:w="11910" w:h="16840"/>
          <w:pgMar w:footer="970" w:top="1580" w:bottom="1160" w:left="1600" w:right="1280"/>
          <w:pgNumType w:start="1"/>
        </w:sectPr>
      </w:pPr>
    </w:p>
    <w:p>
      <w:pPr>
        <w:pStyle w:val="BodyText"/>
        <w:ind w:left="0"/>
        <w:rPr>
          <w:sz w:val="20"/>
        </w:rPr>
      </w:pPr>
    </w:p>
    <w:p>
      <w:pPr>
        <w:pStyle w:val="BodyText"/>
        <w:spacing w:before="4"/>
        <w:ind w:left="0"/>
        <w:rPr>
          <w:sz w:val="27"/>
        </w:rPr>
      </w:pPr>
    </w:p>
    <w:p>
      <w:pPr>
        <w:pStyle w:val="BodyText"/>
        <w:spacing w:line="350" w:lineRule="auto" w:before="54"/>
        <w:ind w:right="419"/>
        <w:jc w:val="both"/>
      </w:pPr>
      <w:r>
        <w:rPr>
          <w:spacing w:val="-4"/>
        </w:rPr>
        <w:t>开放课程、黑龙江省虚拟仿真实验教学项目和 </w:t>
      </w:r>
      <w:r>
        <w:rPr/>
        <w:t>2019</w:t>
      </w:r>
      <w:r>
        <w:rPr>
          <w:spacing w:val="-16"/>
        </w:rPr>
        <w:t> 年度黑龙</w:t>
      </w:r>
      <w:r>
        <w:rPr>
          <w:spacing w:val="-12"/>
          <w:w w:val="95"/>
        </w:rPr>
        <w:t>江省“三类”一流课程的课程</w:t>
      </w:r>
      <w:r>
        <w:rPr>
          <w:w w:val="95"/>
        </w:rPr>
        <w:t>（</w:t>
      </w:r>
      <w:r>
        <w:rPr>
          <w:spacing w:val="-6"/>
          <w:w w:val="95"/>
        </w:rPr>
        <w:t>以下简称“第一批省级一流本</w:t>
      </w:r>
      <w:r>
        <w:rPr>
          <w:spacing w:val="2"/>
          <w:w w:val="99"/>
        </w:rPr>
        <w:t>科</w:t>
      </w:r>
      <w:r>
        <w:rPr>
          <w:spacing w:val="-53"/>
          <w:w w:val="99"/>
        </w:rPr>
        <w:t>课程”</w:t>
      </w:r>
      <w:r>
        <w:rPr>
          <w:spacing w:val="2"/>
          <w:w w:val="99"/>
        </w:rPr>
        <w:t>）</w:t>
      </w:r>
      <w:r>
        <w:rPr>
          <w:w w:val="99"/>
        </w:rPr>
        <w:t>不再参与此次第二批省级一流课程的申报。可申报</w:t>
      </w:r>
      <w:r>
        <w:rPr/>
        <w:t>参评第二批国家级一流课程。</w:t>
      </w:r>
    </w:p>
    <w:p>
      <w:pPr>
        <w:pStyle w:val="BodyText"/>
        <w:spacing w:line="350" w:lineRule="auto" w:before="6"/>
        <w:ind w:right="419" w:firstLine="638"/>
        <w:jc w:val="both"/>
      </w:pPr>
      <w:r>
        <w:rPr>
          <w:spacing w:val="-8"/>
        </w:rPr>
        <w:t>已获批第一批</w:t>
      </w:r>
      <w:r>
        <w:rPr/>
        <w:t>（</w:t>
      </w:r>
      <w:r>
        <w:rPr>
          <w:spacing w:val="-42"/>
        </w:rPr>
        <w:t>含 </w:t>
      </w:r>
      <w:r>
        <w:rPr/>
        <w:t>2017</w:t>
      </w:r>
      <w:r>
        <w:rPr>
          <w:spacing w:val="-43"/>
        </w:rPr>
        <w:t> 年、</w:t>
      </w:r>
      <w:r>
        <w:rPr/>
        <w:t>2018</w:t>
      </w:r>
      <w:r>
        <w:rPr>
          <w:spacing w:val="-44"/>
        </w:rPr>
        <w:t> 年、</w:t>
      </w:r>
      <w:r>
        <w:rPr/>
        <w:t>2019</w:t>
      </w:r>
      <w:r>
        <w:rPr>
          <w:spacing w:val="-13"/>
        </w:rPr>
        <w:t> 年国家级精品</w:t>
      </w:r>
      <w:r>
        <w:rPr>
          <w:spacing w:val="-13"/>
          <w:w w:val="95"/>
        </w:rPr>
        <w:t>在线开放课程、虚拟仿真实验教学项目等</w:t>
      </w:r>
      <w:r>
        <w:rPr>
          <w:spacing w:val="-67"/>
          <w:w w:val="95"/>
        </w:rPr>
        <w:t>）</w:t>
      </w:r>
      <w:r>
        <w:rPr>
          <w:w w:val="95"/>
        </w:rPr>
        <w:t>国家级一流课程的 </w:t>
      </w:r>
      <w:r>
        <w:rPr/>
        <w:t>课程不再参加此次第二批国家级线一流课程的申报。</w:t>
      </w:r>
    </w:p>
    <w:p>
      <w:pPr>
        <w:pStyle w:val="BodyText"/>
        <w:spacing w:line="350" w:lineRule="auto" w:before="4"/>
        <w:ind w:right="419" w:firstLine="638"/>
      </w:pPr>
      <w:r>
        <w:rPr>
          <w:spacing w:val="-12"/>
        </w:rPr>
        <w:t>课程主讲教师、课程团队主要成员只能参与申报一门第二批省级一流课程和第二批国家级一流本科课程。</w:t>
      </w:r>
    </w:p>
    <w:p>
      <w:pPr>
        <w:pStyle w:val="BodyText"/>
        <w:spacing w:before="3"/>
        <w:ind w:left="740"/>
        <w:rPr>
          <w:rFonts w:ascii="黑体" w:eastAsia="黑体" w:hint="eastAsia"/>
        </w:rPr>
      </w:pPr>
      <w:r>
        <w:rPr>
          <w:rFonts w:ascii="黑体" w:eastAsia="黑体" w:hint="eastAsia"/>
        </w:rPr>
        <w:t>二、申报类型与数量</w:t>
      </w:r>
    </w:p>
    <w:p>
      <w:pPr>
        <w:pStyle w:val="ListParagraph"/>
        <w:numPr>
          <w:ilvl w:val="0"/>
          <w:numId w:val="1"/>
        </w:numPr>
        <w:tabs>
          <w:tab w:pos="1069" w:val="left" w:leader="none"/>
        </w:tabs>
        <w:spacing w:line="240" w:lineRule="auto" w:before="190" w:after="0"/>
        <w:ind w:left="1068" w:right="0" w:hanging="329"/>
        <w:jc w:val="left"/>
        <w:rPr>
          <w:sz w:val="32"/>
        </w:rPr>
      </w:pPr>
      <w:r>
        <w:rPr>
          <w:rFonts w:ascii="楷体" w:eastAsia="楷体" w:hint="eastAsia"/>
          <w:b/>
          <w:spacing w:val="8"/>
          <w:sz w:val="32"/>
        </w:rPr>
        <w:t>第二批省级一流课程推荐。</w:t>
      </w:r>
      <w:r>
        <w:rPr>
          <w:spacing w:val="6"/>
          <w:sz w:val="32"/>
        </w:rPr>
        <w:t>第二批省级一流本科课程</w:t>
      </w:r>
    </w:p>
    <w:p>
      <w:pPr>
        <w:pStyle w:val="BodyText"/>
        <w:spacing w:line="350" w:lineRule="auto" w:before="190"/>
        <w:ind w:right="419"/>
        <w:jc w:val="both"/>
      </w:pPr>
      <w:r>
        <w:rPr/>
        <w:t>（</w:t>
      </w:r>
      <w:r>
        <w:rPr>
          <w:spacing w:val="-7"/>
        </w:rPr>
        <w:t>线上、线下、线上线下混合式、社会实践四类</w:t>
      </w:r>
      <w:r>
        <w:rPr>
          <w:spacing w:val="-12"/>
        </w:rPr>
        <w:t>）</w:t>
      </w:r>
      <w:r>
        <w:rPr>
          <w:spacing w:val="-23"/>
        </w:rPr>
        <w:t>拟认定 </w:t>
      </w:r>
      <w:r>
        <w:rPr/>
        <w:t>500 </w:t>
      </w:r>
      <w:r>
        <w:rPr>
          <w:spacing w:val="-7"/>
        </w:rPr>
        <w:t>门左右</w:t>
      </w:r>
      <w:r>
        <w:rPr/>
        <w:t>（</w:t>
      </w:r>
      <w:r>
        <w:rPr>
          <w:spacing w:val="-9"/>
        </w:rPr>
        <w:t>各高校推荐限额见附件 </w:t>
      </w:r>
      <w:r>
        <w:rPr>
          <w:spacing w:val="-10"/>
        </w:rPr>
        <w:t>1）</w:t>
      </w:r>
      <w:r>
        <w:rPr>
          <w:spacing w:val="-4"/>
        </w:rPr>
        <w:t>。第二批省级一流本科课</w:t>
      </w:r>
      <w:r>
        <w:rPr>
          <w:spacing w:val="-46"/>
        </w:rPr>
        <w:t>程</w:t>
      </w:r>
      <w:r>
        <w:rPr/>
        <w:t>（虚拟仿真实验教学课程</w:t>
      </w:r>
      <w:r>
        <w:rPr>
          <w:spacing w:val="-43"/>
        </w:rPr>
        <w:t>）</w:t>
      </w:r>
      <w:r>
        <w:rPr>
          <w:spacing w:val="-22"/>
        </w:rPr>
        <w:t>拟认定 </w:t>
      </w:r>
      <w:r>
        <w:rPr/>
        <w:t>100</w:t>
      </w:r>
      <w:r>
        <w:rPr>
          <w:spacing w:val="-15"/>
        </w:rPr>
        <w:t> 门左右，各高校推荐</w:t>
      </w:r>
      <w:r>
        <w:rPr>
          <w:spacing w:val="-16"/>
        </w:rPr>
        <w:t>不限额。</w:t>
      </w:r>
      <w:r>
        <w:rPr/>
        <w:t>37</w:t>
      </w:r>
      <w:r>
        <w:rPr>
          <w:spacing w:val="-57"/>
        </w:rPr>
        <w:t> 门 </w:t>
      </w:r>
      <w:r>
        <w:rPr/>
        <w:t>2019</w:t>
      </w:r>
      <w:r>
        <w:rPr>
          <w:spacing w:val="-11"/>
        </w:rPr>
        <w:t> 年省级精品在线开放课程</w:t>
      </w:r>
      <w:r>
        <w:rPr/>
        <w:t>（培育</w:t>
      </w:r>
      <w:r>
        <w:rPr>
          <w:spacing w:val="-19"/>
        </w:rPr>
        <w:t>）</w:t>
      </w:r>
      <w:r>
        <w:rPr/>
        <w:t>可单独</w:t>
      </w:r>
      <w:r>
        <w:rPr>
          <w:spacing w:val="-6"/>
        </w:rPr>
        <w:t>推荐</w:t>
      </w:r>
      <w:r>
        <w:rPr/>
        <w:t>（</w:t>
      </w:r>
      <w:r>
        <w:rPr>
          <w:spacing w:val="-16"/>
        </w:rPr>
        <w:t>名单见附件 </w:t>
      </w:r>
      <w:r>
        <w:rPr>
          <w:spacing w:val="-9"/>
        </w:rPr>
        <w:t>2）</w:t>
      </w:r>
      <w:r>
        <w:rPr>
          <w:spacing w:val="-5"/>
        </w:rPr>
        <w:t>，不占用此次申报限额。本次鼓励申报</w:t>
      </w:r>
      <w:r>
        <w:rPr>
          <w:spacing w:val="-12"/>
          <w:w w:val="95"/>
        </w:rPr>
        <w:t>线上线下混合式课程和社会实践类课程，线上、线下课程推荐 </w:t>
      </w:r>
      <w:r>
        <w:rPr>
          <w:spacing w:val="-16"/>
        </w:rPr>
        <w:t>比例原则上应分别不超过四类课程推荐总额的 </w:t>
      </w:r>
      <w:r>
        <w:rPr/>
        <w:t>20%。</w:t>
      </w:r>
    </w:p>
    <w:p>
      <w:pPr>
        <w:pStyle w:val="ListParagraph"/>
        <w:numPr>
          <w:ilvl w:val="0"/>
          <w:numId w:val="1"/>
        </w:numPr>
        <w:tabs>
          <w:tab w:pos="1064" w:val="left" w:leader="none"/>
        </w:tabs>
        <w:spacing w:line="350" w:lineRule="auto" w:before="10" w:after="0"/>
        <w:ind w:left="101" w:right="417" w:firstLine="638"/>
        <w:jc w:val="both"/>
        <w:rPr>
          <w:sz w:val="32"/>
        </w:rPr>
      </w:pPr>
      <w:r>
        <w:rPr>
          <w:rFonts w:ascii="楷体" w:hAnsi="楷体" w:eastAsia="楷体" w:hint="eastAsia"/>
          <w:b/>
          <w:spacing w:val="-12"/>
          <w:sz w:val="32"/>
        </w:rPr>
        <w:t>第二批国家级一流课程推荐。</w:t>
      </w:r>
      <w:r>
        <w:rPr>
          <w:sz w:val="32"/>
        </w:rPr>
        <w:t>省教育厅将从本次认定的</w:t>
      </w:r>
      <w:r>
        <w:rPr>
          <w:spacing w:val="-10"/>
          <w:sz w:val="32"/>
        </w:rPr>
        <w:t>第二批省级一流课程和“第一批省级一流本科课程”中择优推荐申报第二批国家级一流本科课程。</w:t>
      </w:r>
    </w:p>
    <w:p>
      <w:pPr>
        <w:spacing w:after="0" w:line="350" w:lineRule="auto"/>
        <w:jc w:val="both"/>
        <w:rPr>
          <w:sz w:val="32"/>
        </w:rPr>
        <w:sectPr>
          <w:pgSz w:w="11910" w:h="16840"/>
          <w:pgMar w:header="0" w:footer="970" w:top="1580" w:bottom="1160" w:left="1600" w:right="1280"/>
        </w:sectPr>
      </w:pPr>
    </w:p>
    <w:p>
      <w:pPr>
        <w:pStyle w:val="BodyText"/>
        <w:ind w:left="0"/>
        <w:rPr>
          <w:sz w:val="20"/>
        </w:rPr>
      </w:pPr>
    </w:p>
    <w:p>
      <w:pPr>
        <w:pStyle w:val="BodyText"/>
        <w:spacing w:before="4"/>
        <w:ind w:left="0"/>
        <w:rPr>
          <w:sz w:val="27"/>
        </w:rPr>
      </w:pPr>
    </w:p>
    <w:p>
      <w:pPr>
        <w:pStyle w:val="BodyText"/>
        <w:spacing w:before="54"/>
        <w:ind w:left="740"/>
        <w:rPr>
          <w:rFonts w:ascii="黑体" w:eastAsia="黑体" w:hint="eastAsia"/>
        </w:rPr>
      </w:pPr>
      <w:r>
        <w:rPr>
          <w:rFonts w:ascii="黑体" w:eastAsia="黑体" w:hint="eastAsia"/>
        </w:rPr>
        <w:t>三、申报条件</w:t>
      </w:r>
    </w:p>
    <w:p>
      <w:pPr>
        <w:pStyle w:val="ListParagraph"/>
        <w:numPr>
          <w:ilvl w:val="0"/>
          <w:numId w:val="2"/>
        </w:numPr>
        <w:tabs>
          <w:tab w:pos="1064" w:val="left" w:leader="none"/>
        </w:tabs>
        <w:spacing w:line="240" w:lineRule="auto" w:before="190" w:after="0"/>
        <w:ind w:left="1064" w:right="0" w:hanging="324"/>
        <w:jc w:val="both"/>
        <w:rPr>
          <w:sz w:val="32"/>
        </w:rPr>
      </w:pPr>
      <w:r>
        <w:rPr>
          <w:sz w:val="32"/>
        </w:rPr>
        <w:t>推荐申报第二批国家级和省级一流课程须于 2021</w:t>
      </w:r>
      <w:r>
        <w:rPr>
          <w:spacing w:val="-53"/>
          <w:sz w:val="32"/>
        </w:rPr>
        <w:t> 年 </w:t>
      </w:r>
      <w:r>
        <w:rPr>
          <w:sz w:val="32"/>
        </w:rPr>
        <w:t>1</w:t>
      </w:r>
    </w:p>
    <w:p>
      <w:pPr>
        <w:pStyle w:val="BodyText"/>
        <w:spacing w:line="350" w:lineRule="auto" w:before="190"/>
        <w:ind w:right="414"/>
        <w:jc w:val="both"/>
      </w:pPr>
      <w:r>
        <w:rPr>
          <w:spacing w:val="-42"/>
        </w:rPr>
        <w:t>月 </w:t>
      </w:r>
      <w:r>
        <w:rPr/>
        <w:t>31</w:t>
      </w:r>
      <w:r>
        <w:rPr>
          <w:spacing w:val="-13"/>
        </w:rPr>
        <w:t> 日前至少经过</w:t>
      </w:r>
      <w:r>
        <w:rPr>
          <w:b/>
        </w:rPr>
        <w:t>两个学期或两个教学周期</w:t>
      </w:r>
      <w:r>
        <w:rPr/>
        <w:t>的建设和完善， </w:t>
      </w:r>
      <w:r>
        <w:rPr>
          <w:spacing w:val="-10"/>
        </w:rPr>
        <w:t>取得实质性改革成效，在同类课程中具有鲜明特色、良好的教</w:t>
      </w:r>
      <w:r>
        <w:rPr>
          <w:spacing w:val="-15"/>
        </w:rPr>
        <w:t>学效果，并承诺入选后将持续改进。此前参加过第一批国家级</w:t>
      </w:r>
      <w:r>
        <w:rPr>
          <w:spacing w:val="-20"/>
        </w:rPr>
        <w:t>和省级一流课程推荐但未通过认定的课程，须经进一步修改完</w:t>
      </w:r>
      <w:r>
        <w:rPr>
          <w:spacing w:val="-14"/>
        </w:rPr>
        <w:t>善，在上次推荐之后至少经过一个完整教学周期的改革实践方</w:t>
      </w:r>
      <w:r>
        <w:rPr>
          <w:spacing w:val="-30"/>
        </w:rPr>
        <w:t>可申报，</w:t>
      </w:r>
      <w:r>
        <w:rPr>
          <w:b/>
          <w:spacing w:val="-5"/>
        </w:rPr>
        <w:t>且必须提供修改完善说明和证明性材料</w:t>
      </w:r>
      <w:r>
        <w:rPr/>
        <w:t>（模板见附件</w:t>
      </w:r>
      <w:r>
        <w:rPr>
          <w:spacing w:val="-23"/>
        </w:rPr>
        <w:t>3）</w:t>
      </w:r>
      <w:r>
        <w:rPr>
          <w:spacing w:val="-44"/>
        </w:rPr>
        <w:t>。在 </w:t>
      </w:r>
      <w:r>
        <w:rPr/>
        <w:t>2020</w:t>
      </w:r>
      <w:r>
        <w:rPr>
          <w:spacing w:val="-12"/>
        </w:rPr>
        <w:t> 年春季学期，因受新冠肺炎疫情影响而采用在线</w:t>
      </w:r>
      <w:r>
        <w:rPr>
          <w:spacing w:val="-17"/>
        </w:rPr>
        <w:t>方式进行授课的线下课程、线上线下混合式课程，如果符合教改设计理念并取得预期效果，可视为一个教学周期。</w:t>
      </w:r>
    </w:p>
    <w:p>
      <w:pPr>
        <w:pStyle w:val="ListParagraph"/>
        <w:numPr>
          <w:ilvl w:val="0"/>
          <w:numId w:val="2"/>
        </w:numPr>
        <w:tabs>
          <w:tab w:pos="1069" w:val="left" w:leader="none"/>
        </w:tabs>
        <w:spacing w:line="350" w:lineRule="auto" w:before="13" w:after="0"/>
        <w:ind w:left="101" w:right="414" w:firstLine="638"/>
        <w:jc w:val="both"/>
        <w:rPr>
          <w:sz w:val="32"/>
        </w:rPr>
      </w:pPr>
      <w:r>
        <w:rPr>
          <w:b/>
          <w:spacing w:val="7"/>
          <w:w w:val="95"/>
          <w:sz w:val="32"/>
        </w:rPr>
        <w:t>课程负责人</w:t>
      </w:r>
      <w:r>
        <w:rPr>
          <w:b/>
          <w:spacing w:val="9"/>
          <w:w w:val="95"/>
          <w:sz w:val="32"/>
        </w:rPr>
        <w:t>（</w:t>
      </w:r>
      <w:r>
        <w:rPr>
          <w:b/>
          <w:spacing w:val="8"/>
          <w:w w:val="95"/>
          <w:sz w:val="32"/>
        </w:rPr>
        <w:t>或主讲教师</w:t>
      </w:r>
      <w:r>
        <w:rPr>
          <w:b/>
          <w:spacing w:val="9"/>
          <w:w w:val="95"/>
          <w:sz w:val="32"/>
        </w:rPr>
        <w:t>）</w:t>
      </w:r>
      <w:r>
        <w:rPr>
          <w:b/>
          <w:spacing w:val="6"/>
          <w:w w:val="95"/>
          <w:sz w:val="32"/>
        </w:rPr>
        <w:t>须为申报高校正式聘用的 </w:t>
      </w:r>
      <w:r>
        <w:rPr>
          <w:b/>
          <w:spacing w:val="-19"/>
          <w:sz w:val="32"/>
        </w:rPr>
        <w:t>教师，</w:t>
      </w:r>
      <w:r>
        <w:rPr>
          <w:spacing w:val="-5"/>
          <w:sz w:val="32"/>
        </w:rPr>
        <w:t>具有丰富的教学经验和较高学术造诣。团队主要成员一</w:t>
      </w:r>
      <w:r>
        <w:rPr>
          <w:spacing w:val="-26"/>
          <w:sz w:val="32"/>
        </w:rPr>
        <w:t>般为近 </w:t>
      </w:r>
      <w:r>
        <w:rPr>
          <w:sz w:val="32"/>
        </w:rPr>
        <w:t>5</w:t>
      </w:r>
      <w:r>
        <w:rPr>
          <w:spacing w:val="-16"/>
          <w:sz w:val="32"/>
        </w:rPr>
        <w:t> 年内讲授该课程教师，师德师风好，教学能力强，积</w:t>
      </w:r>
      <w:r>
        <w:rPr>
          <w:spacing w:val="-17"/>
          <w:sz w:val="32"/>
        </w:rPr>
        <w:t>极投入教学改革。虚拟仿真实验教学课程，必要的技术支持人</w:t>
      </w:r>
      <w:r>
        <w:rPr>
          <w:spacing w:val="-18"/>
          <w:sz w:val="32"/>
        </w:rPr>
        <w:t>员可作为团队主要成员。参与申报课程的所有团队成员均须由</w:t>
      </w:r>
      <w:r>
        <w:rPr>
          <w:spacing w:val="-28"/>
          <w:sz w:val="32"/>
        </w:rPr>
        <w:t>其所在学校</w:t>
      </w:r>
      <w:r>
        <w:rPr>
          <w:sz w:val="32"/>
        </w:rPr>
        <w:t>（或工作单位</w:t>
      </w:r>
      <w:r>
        <w:rPr>
          <w:spacing w:val="-67"/>
          <w:sz w:val="32"/>
        </w:rPr>
        <w:t>）</w:t>
      </w:r>
      <w:r>
        <w:rPr>
          <w:sz w:val="32"/>
        </w:rPr>
        <w:t>校级党委或相当级别党组织出具政治审查意见（</w:t>
      </w:r>
      <w:r>
        <w:rPr>
          <w:spacing w:val="-14"/>
          <w:sz w:val="32"/>
        </w:rPr>
        <w:t>模板见附件 </w:t>
      </w:r>
      <w:r>
        <w:rPr>
          <w:sz w:val="32"/>
        </w:rPr>
        <w:t>4）。</w:t>
      </w:r>
    </w:p>
    <w:p>
      <w:pPr>
        <w:pStyle w:val="BodyText"/>
        <w:spacing w:before="10"/>
        <w:ind w:left="740"/>
        <w:rPr>
          <w:rFonts w:ascii="黑体" w:eastAsia="黑体" w:hint="eastAsia"/>
        </w:rPr>
      </w:pPr>
      <w:r>
        <w:rPr>
          <w:rFonts w:ascii="黑体" w:eastAsia="黑体" w:hint="eastAsia"/>
        </w:rPr>
        <w:t>四、申报推荐原则</w:t>
      </w:r>
    </w:p>
    <w:p>
      <w:pPr>
        <w:pStyle w:val="BodyText"/>
        <w:spacing w:line="350" w:lineRule="auto" w:before="190"/>
        <w:ind w:right="417" w:firstLine="638"/>
      </w:pPr>
      <w:r>
        <w:rPr>
          <w:rFonts w:ascii="楷体" w:eastAsia="楷体" w:hint="eastAsia"/>
          <w:b/>
          <w:w w:val="95"/>
        </w:rPr>
        <w:t>（一</w:t>
      </w:r>
      <w:r>
        <w:rPr>
          <w:rFonts w:ascii="楷体" w:eastAsia="楷体" w:hint="eastAsia"/>
          <w:b/>
          <w:spacing w:val="-46"/>
          <w:w w:val="95"/>
        </w:rPr>
        <w:t>）</w:t>
      </w:r>
      <w:r>
        <w:rPr>
          <w:rFonts w:ascii="楷体" w:eastAsia="楷体" w:hint="eastAsia"/>
          <w:b/>
          <w:spacing w:val="-10"/>
          <w:w w:val="95"/>
        </w:rPr>
        <w:t>质量为本。</w:t>
      </w:r>
      <w:r>
        <w:rPr>
          <w:spacing w:val="-4"/>
          <w:w w:val="95"/>
        </w:rPr>
        <w:t>进一步优化一流课程结构，鼓励围绕重 </w:t>
      </w:r>
      <w:r>
        <w:rPr>
          <w:spacing w:val="-11"/>
        </w:rPr>
        <w:t>点领域申报满足人才培养迫切需求的课程，注重健全和完善具</w:t>
      </w:r>
    </w:p>
    <w:p>
      <w:pPr>
        <w:spacing w:after="0" w:line="350" w:lineRule="auto"/>
        <w:sectPr>
          <w:pgSz w:w="11910" w:h="16840"/>
          <w:pgMar w:header="0" w:footer="970" w:top="1580" w:bottom="1160" w:left="1600" w:right="1280"/>
        </w:sectPr>
      </w:pPr>
    </w:p>
    <w:p>
      <w:pPr>
        <w:pStyle w:val="BodyText"/>
        <w:ind w:left="0"/>
        <w:rPr>
          <w:sz w:val="20"/>
        </w:rPr>
      </w:pPr>
    </w:p>
    <w:p>
      <w:pPr>
        <w:pStyle w:val="BodyText"/>
        <w:spacing w:before="4"/>
        <w:ind w:left="0"/>
        <w:rPr>
          <w:sz w:val="27"/>
        </w:rPr>
      </w:pPr>
    </w:p>
    <w:p>
      <w:pPr>
        <w:pStyle w:val="BodyText"/>
        <w:spacing w:line="350" w:lineRule="auto" w:before="54"/>
        <w:ind w:right="417"/>
        <w:jc w:val="both"/>
      </w:pPr>
      <w:r>
        <w:rPr>
          <w:b/>
        </w:rPr>
        <w:t>有示范推广价值的专业基础课和专业核心课</w:t>
      </w:r>
      <w:r>
        <w:rPr>
          <w:spacing w:val="-21"/>
        </w:rPr>
        <w:t>，逐步建立起科学</w:t>
      </w:r>
      <w:r>
        <w:rPr>
          <w:spacing w:val="-20"/>
          <w:w w:val="95"/>
        </w:rPr>
        <w:t>合理的一流本科课程体系。严格遴选标准，重点考查课程的高 </w:t>
      </w:r>
      <w:r>
        <w:rPr>
          <w:spacing w:val="-14"/>
          <w:w w:val="95"/>
        </w:rPr>
        <w:t>阶性、创新性和挑战度，严把政治关、学术关、质量关，坚持 </w:t>
      </w:r>
      <w:r>
        <w:rPr>
          <w:spacing w:val="-14"/>
        </w:rPr>
        <w:t>优中选优、宁缺毋滥，确保认定的课程经得住检验。</w:t>
      </w:r>
    </w:p>
    <w:p>
      <w:pPr>
        <w:pStyle w:val="BodyText"/>
        <w:spacing w:line="350" w:lineRule="auto" w:before="6"/>
        <w:ind w:right="262" w:firstLine="638"/>
      </w:pPr>
      <w:r>
        <w:rPr>
          <w:rFonts w:ascii="楷体" w:eastAsia="楷体" w:hint="eastAsia"/>
          <w:b/>
        </w:rPr>
        <w:t>（二</w:t>
      </w:r>
      <w:r>
        <w:rPr>
          <w:rFonts w:ascii="楷体" w:eastAsia="楷体" w:hint="eastAsia"/>
          <w:b/>
          <w:spacing w:val="-46"/>
        </w:rPr>
        <w:t>）</w:t>
      </w:r>
      <w:r>
        <w:rPr>
          <w:rFonts w:ascii="楷体" w:eastAsia="楷体" w:hint="eastAsia"/>
          <w:b/>
          <w:spacing w:val="-10"/>
        </w:rPr>
        <w:t>分类推荐。</w:t>
      </w:r>
      <w:r>
        <w:rPr>
          <w:spacing w:val="-3"/>
        </w:rPr>
        <w:t>线上课程和虚拟仿真实验教学课程，应突出优质、开放、共享等特征，并配套良好的教学支持服务； </w:t>
      </w:r>
      <w:r>
        <w:rPr>
          <w:spacing w:val="-21"/>
          <w:w w:val="95"/>
        </w:rPr>
        <w:t>线下课程、线上线下混合式课程和社会实践课程，要因地制宜、 </w:t>
      </w:r>
      <w:r>
        <w:rPr>
          <w:spacing w:val="-16"/>
        </w:rPr>
        <w:t>因校制宜、因课制宜，强调课程内容与教育教学方式方法改革创新，并具有一定的示范辐射作用。</w:t>
      </w:r>
    </w:p>
    <w:p>
      <w:pPr>
        <w:pStyle w:val="BodyText"/>
        <w:spacing w:line="350" w:lineRule="auto" w:before="7"/>
        <w:ind w:right="274" w:firstLine="638"/>
        <w:jc w:val="both"/>
      </w:pPr>
      <w:r>
        <w:rPr>
          <w:rFonts w:ascii="楷体" w:eastAsia="楷体" w:hint="eastAsia"/>
          <w:b/>
        </w:rPr>
        <w:t>（三）注重实效。</w:t>
      </w:r>
      <w:r>
        <w:rPr/>
        <w:t>注重课程设计、教学内容、教学方法、教学评价改革；关注创新教育理念在教学过程中的落实情况， 以及使用新型教学方式方法取得的学习成效。</w:t>
      </w:r>
    </w:p>
    <w:p>
      <w:pPr>
        <w:pStyle w:val="BodyText"/>
        <w:spacing w:line="350" w:lineRule="auto" w:before="4"/>
        <w:ind w:right="274" w:firstLine="638"/>
      </w:pPr>
      <w:r>
        <w:rPr>
          <w:rFonts w:ascii="楷体" w:eastAsia="楷体" w:hint="eastAsia"/>
          <w:b/>
        </w:rPr>
        <w:t>（四）广泛参与。</w:t>
      </w:r>
      <w:r>
        <w:rPr/>
        <w:t>鼓励一线教师积极参与一流课程建设， </w:t>
      </w:r>
      <w:r>
        <w:rPr>
          <w:spacing w:val="-12"/>
        </w:rPr>
        <w:t>主动对接国家、区域、行业人才培养需求，积极将先进的教育</w:t>
      </w:r>
      <w:r>
        <w:rPr>
          <w:spacing w:val="-14"/>
        </w:rPr>
        <w:t>理念、优质的教学资源以及创新性教学方式方法应用于教育教学改革实践。</w:t>
      </w:r>
    </w:p>
    <w:p>
      <w:pPr>
        <w:pStyle w:val="BodyText"/>
        <w:spacing w:before="6"/>
        <w:ind w:left="740"/>
        <w:rPr>
          <w:rFonts w:ascii="黑体" w:eastAsia="黑体" w:hint="eastAsia"/>
        </w:rPr>
      </w:pPr>
      <w:r>
        <w:rPr>
          <w:rFonts w:ascii="黑体" w:eastAsia="黑体" w:hint="eastAsia"/>
        </w:rPr>
        <w:t>五、申报推荐程序</w:t>
      </w:r>
    </w:p>
    <w:p>
      <w:pPr>
        <w:pStyle w:val="ListParagraph"/>
        <w:numPr>
          <w:ilvl w:val="0"/>
          <w:numId w:val="3"/>
        </w:numPr>
        <w:tabs>
          <w:tab w:pos="1062" w:val="left" w:leader="none"/>
        </w:tabs>
        <w:spacing w:line="350" w:lineRule="auto" w:before="190" w:after="0"/>
        <w:ind w:left="101" w:right="421" w:firstLine="638"/>
        <w:jc w:val="left"/>
        <w:rPr>
          <w:sz w:val="32"/>
        </w:rPr>
      </w:pPr>
      <w:r>
        <w:rPr>
          <w:spacing w:val="-7"/>
          <w:sz w:val="32"/>
        </w:rPr>
        <w:t>符合申报条件的课程负责人向所在学校提出申请。申报</w:t>
      </w:r>
      <w:r>
        <w:rPr>
          <w:spacing w:val="6"/>
          <w:w w:val="95"/>
          <w:sz w:val="32"/>
        </w:rPr>
        <w:t>省级一流课程的课程负责人填写第二批省级一流课程申报书</w:t>
      </w:r>
    </w:p>
    <w:p>
      <w:pPr>
        <w:pStyle w:val="BodyText"/>
        <w:spacing w:line="350" w:lineRule="auto" w:before="2"/>
        <w:ind w:right="286"/>
      </w:pPr>
      <w:r>
        <w:rPr>
          <w:w w:val="99"/>
        </w:rPr>
        <w:t>（</w:t>
      </w:r>
      <w:r>
        <w:rPr>
          <w:spacing w:val="1"/>
          <w:w w:val="99"/>
        </w:rPr>
        <w:t>附件</w:t>
      </w:r>
      <w:r>
        <w:rPr>
          <w:spacing w:val="-81"/>
        </w:rPr>
        <w:t> </w:t>
      </w:r>
      <w:r>
        <w:rPr>
          <w:spacing w:val="1"/>
          <w:w w:val="99"/>
        </w:rPr>
        <w:t>5</w:t>
      </w:r>
      <w:r>
        <w:rPr>
          <w:spacing w:val="-161"/>
          <w:w w:val="99"/>
        </w:rPr>
        <w:t>）</w:t>
      </w:r>
      <w:r>
        <w:rPr>
          <w:w w:val="99"/>
        </w:rPr>
        <w:t>、第二批省级一流本科课程申报备案表（附件</w:t>
      </w:r>
      <w:r>
        <w:rPr>
          <w:spacing w:val="-79"/>
        </w:rPr>
        <w:t> </w:t>
      </w:r>
      <w:r>
        <w:rPr>
          <w:spacing w:val="1"/>
          <w:w w:val="99"/>
        </w:rPr>
        <w:t>6</w:t>
      </w:r>
      <w:r>
        <w:rPr>
          <w:w w:val="99"/>
        </w:rPr>
        <w:t>）、</w:t>
      </w:r>
      <w:r>
        <w:rPr>
          <w:spacing w:val="-2"/>
        </w:rPr>
        <w:t>第二批一流本科课程申报汇总表</w:t>
      </w:r>
      <w:r>
        <w:rPr/>
        <w:t>（</w:t>
      </w:r>
      <w:r>
        <w:rPr>
          <w:spacing w:val="-28"/>
        </w:rPr>
        <w:t>附件 </w:t>
      </w:r>
      <w:r>
        <w:rPr>
          <w:spacing w:val="-12"/>
        </w:rPr>
        <w:t>9）</w:t>
      </w:r>
      <w:r>
        <w:rPr>
          <w:spacing w:val="-3"/>
        </w:rPr>
        <w:t>，并按申报书要求</w:t>
      </w:r>
    </w:p>
    <w:p>
      <w:pPr>
        <w:spacing w:after="0" w:line="350" w:lineRule="auto"/>
        <w:sectPr>
          <w:pgSz w:w="11910" w:h="16840"/>
          <w:pgMar w:header="0" w:footer="970" w:top="1580" w:bottom="1160" w:left="1600" w:right="1280"/>
        </w:sectPr>
      </w:pPr>
    </w:p>
    <w:p>
      <w:pPr>
        <w:pStyle w:val="BodyText"/>
        <w:ind w:left="0"/>
        <w:rPr>
          <w:sz w:val="20"/>
        </w:rPr>
      </w:pPr>
    </w:p>
    <w:p>
      <w:pPr>
        <w:pStyle w:val="BodyText"/>
        <w:spacing w:before="4"/>
        <w:ind w:left="0"/>
        <w:rPr>
          <w:sz w:val="27"/>
        </w:rPr>
      </w:pPr>
    </w:p>
    <w:p>
      <w:pPr>
        <w:pStyle w:val="BodyText"/>
        <w:spacing w:line="350" w:lineRule="auto" w:before="54"/>
        <w:ind w:right="419"/>
        <w:jc w:val="both"/>
      </w:pPr>
      <w:r>
        <w:rPr>
          <w:spacing w:val="-12"/>
          <w:w w:val="95"/>
        </w:rPr>
        <w:t>准备相关佐证材料；申报国家级一流课程的课程负责人填写第</w:t>
      </w:r>
      <w:r>
        <w:rPr>
          <w:spacing w:val="5"/>
          <w:w w:val="99"/>
        </w:rPr>
        <w:t>二批国家级一流课程申报书（</w:t>
      </w:r>
      <w:r>
        <w:rPr>
          <w:spacing w:val="2"/>
          <w:w w:val="99"/>
        </w:rPr>
        <w:t>附件</w:t>
      </w:r>
      <w:r>
        <w:rPr>
          <w:spacing w:val="-76"/>
        </w:rPr>
        <w:t> </w:t>
      </w:r>
      <w:r>
        <w:rPr>
          <w:spacing w:val="3"/>
          <w:w w:val="99"/>
        </w:rPr>
        <w:t>7</w:t>
      </w:r>
      <w:r>
        <w:rPr>
          <w:spacing w:val="-154"/>
          <w:w w:val="99"/>
        </w:rPr>
        <w:t>）</w:t>
      </w:r>
      <w:r>
        <w:rPr>
          <w:spacing w:val="2"/>
          <w:w w:val="99"/>
        </w:rPr>
        <w:t>、第二批国家级一流本</w:t>
      </w:r>
      <w:r>
        <w:rPr/>
        <w:t>科</w:t>
      </w:r>
      <w:r>
        <w:rPr>
          <w:spacing w:val="-4"/>
        </w:rPr>
        <w:t>课程申报备案表</w:t>
      </w:r>
      <w:r>
        <w:rPr/>
        <w:t>（</w:t>
      </w:r>
      <w:r>
        <w:rPr>
          <w:spacing w:val="-31"/>
        </w:rPr>
        <w:t>附件 </w:t>
      </w:r>
      <w:r>
        <w:rPr>
          <w:spacing w:val="-14"/>
        </w:rPr>
        <w:t>8）</w:t>
      </w:r>
      <w:r>
        <w:rPr/>
        <w:t>第二批一流本科课程申报汇总表</w:t>
      </w:r>
    </w:p>
    <w:p>
      <w:pPr>
        <w:pStyle w:val="BodyText"/>
        <w:spacing w:line="350" w:lineRule="auto" w:before="4"/>
        <w:ind w:right="100"/>
        <w:jc w:val="both"/>
      </w:pPr>
      <w:r>
        <w:rPr/>
        <w:t>（</w:t>
      </w:r>
      <w:r>
        <w:rPr>
          <w:spacing w:val="-25"/>
        </w:rPr>
        <w:t>附件 </w:t>
      </w:r>
      <w:r>
        <w:rPr>
          <w:spacing w:val="-12"/>
        </w:rPr>
        <w:t>9）</w:t>
      </w:r>
      <w:r>
        <w:rPr>
          <w:spacing w:val="-4"/>
        </w:rPr>
        <w:t>，并按申报书要求准备相关佐证材料。同时申报省</w:t>
      </w:r>
      <w:r>
        <w:rPr>
          <w:spacing w:val="-16"/>
        </w:rPr>
        <w:t>级一流课程和国家级一流课程的教师，需在附件 </w:t>
      </w:r>
      <w:r>
        <w:rPr/>
        <w:t>9</w:t>
      </w:r>
      <w:r>
        <w:rPr>
          <w:spacing w:val="-13"/>
        </w:rPr>
        <w:t> 中单独注明。</w:t>
      </w:r>
    </w:p>
    <w:p>
      <w:pPr>
        <w:pStyle w:val="ListParagraph"/>
        <w:numPr>
          <w:ilvl w:val="0"/>
          <w:numId w:val="3"/>
        </w:numPr>
        <w:tabs>
          <w:tab w:pos="1062" w:val="left" w:leader="none"/>
        </w:tabs>
        <w:spacing w:line="350" w:lineRule="auto" w:before="3" w:after="0"/>
        <w:ind w:left="101" w:right="419" w:firstLine="638"/>
        <w:jc w:val="both"/>
        <w:rPr>
          <w:sz w:val="32"/>
        </w:rPr>
      </w:pPr>
      <w:r>
        <w:rPr>
          <w:spacing w:val="-12"/>
          <w:sz w:val="32"/>
        </w:rPr>
        <w:t>各高校经遴选并公示后，公示期不少于 </w:t>
      </w:r>
      <w:r>
        <w:rPr>
          <w:sz w:val="32"/>
        </w:rPr>
        <w:t>5</w:t>
      </w:r>
      <w:r>
        <w:rPr>
          <w:spacing w:val="-24"/>
          <w:sz w:val="32"/>
        </w:rPr>
        <w:t> 天，按照推荐限额向省教育厅推荐候选课程。</w:t>
      </w:r>
    </w:p>
    <w:p>
      <w:pPr>
        <w:pStyle w:val="ListParagraph"/>
        <w:numPr>
          <w:ilvl w:val="0"/>
          <w:numId w:val="3"/>
        </w:numPr>
        <w:tabs>
          <w:tab w:pos="1069" w:val="left" w:leader="none"/>
        </w:tabs>
        <w:spacing w:line="350" w:lineRule="auto" w:before="3" w:after="0"/>
        <w:ind w:left="101" w:right="419" w:firstLine="638"/>
        <w:jc w:val="both"/>
        <w:rPr>
          <w:sz w:val="32"/>
        </w:rPr>
      </w:pPr>
      <w:r>
        <w:rPr>
          <w:spacing w:val="6"/>
          <w:w w:val="95"/>
          <w:sz w:val="32"/>
        </w:rPr>
        <w:t>省教育厅将组织专家组对学校申报的课程进行分类评 </w:t>
      </w:r>
      <w:r>
        <w:rPr>
          <w:spacing w:val="-11"/>
          <w:w w:val="95"/>
          <w:sz w:val="32"/>
        </w:rPr>
        <w:t>选，确定黑龙江省第二批一流本科课程候选课程名单，并遴选 </w:t>
      </w:r>
      <w:r>
        <w:rPr>
          <w:spacing w:val="-17"/>
          <w:w w:val="95"/>
          <w:sz w:val="32"/>
        </w:rPr>
        <w:t>推荐申报第二批国家级一流本科课程候选课程名单，经公示无 </w:t>
      </w:r>
      <w:r>
        <w:rPr>
          <w:spacing w:val="-17"/>
          <w:sz w:val="32"/>
        </w:rPr>
        <w:t>异议后向教育部推荐，并采取适当方式向社会发布。</w:t>
      </w:r>
    </w:p>
    <w:p>
      <w:pPr>
        <w:pStyle w:val="BodyText"/>
        <w:spacing w:before="6"/>
        <w:ind w:left="740"/>
        <w:rPr>
          <w:rFonts w:ascii="黑体" w:eastAsia="黑体" w:hint="eastAsia"/>
        </w:rPr>
      </w:pPr>
      <w:r>
        <w:rPr>
          <w:rFonts w:ascii="黑体" w:eastAsia="黑体" w:hint="eastAsia"/>
        </w:rPr>
        <w:t>六、申报材料报送</w:t>
      </w:r>
    </w:p>
    <w:p>
      <w:pPr>
        <w:pStyle w:val="ListParagraph"/>
        <w:numPr>
          <w:ilvl w:val="0"/>
          <w:numId w:val="4"/>
        </w:numPr>
        <w:tabs>
          <w:tab w:pos="1062" w:val="left" w:leader="none"/>
        </w:tabs>
        <w:spacing w:line="350" w:lineRule="auto" w:before="190" w:after="0"/>
        <w:ind w:left="101" w:right="419" w:firstLine="638"/>
        <w:jc w:val="both"/>
        <w:rPr>
          <w:sz w:val="32"/>
        </w:rPr>
      </w:pPr>
      <w:r>
        <w:rPr>
          <w:spacing w:val="-14"/>
          <w:sz w:val="32"/>
        </w:rPr>
        <w:t>各高校请于 </w:t>
      </w:r>
      <w:r>
        <w:rPr>
          <w:sz w:val="32"/>
        </w:rPr>
        <w:t>2021</w:t>
      </w:r>
      <w:r>
        <w:rPr>
          <w:spacing w:val="-55"/>
          <w:sz w:val="32"/>
        </w:rPr>
        <w:t> 年 </w:t>
      </w:r>
      <w:r>
        <w:rPr>
          <w:sz w:val="32"/>
        </w:rPr>
        <w:t>5</w:t>
      </w:r>
      <w:r>
        <w:rPr>
          <w:spacing w:val="-55"/>
          <w:sz w:val="32"/>
        </w:rPr>
        <w:t> 月 </w:t>
      </w:r>
      <w:r>
        <w:rPr>
          <w:sz w:val="32"/>
        </w:rPr>
        <w:t>15</w:t>
      </w:r>
      <w:r>
        <w:rPr>
          <w:spacing w:val="-19"/>
          <w:sz w:val="32"/>
        </w:rPr>
        <w:t> 日前，将加盖单位公章的联</w:t>
      </w:r>
      <w:r>
        <w:rPr>
          <w:spacing w:val="-30"/>
          <w:sz w:val="32"/>
        </w:rPr>
        <w:t>系人信息表 </w:t>
      </w:r>
      <w:r>
        <w:rPr>
          <w:sz w:val="32"/>
        </w:rPr>
        <w:t>PDF</w:t>
      </w:r>
      <w:r>
        <w:rPr>
          <w:spacing w:val="-29"/>
          <w:sz w:val="32"/>
        </w:rPr>
        <w:t> 扫描件及 </w:t>
      </w:r>
      <w:r>
        <w:rPr>
          <w:sz w:val="32"/>
        </w:rPr>
        <w:t>Word</w:t>
      </w:r>
      <w:r>
        <w:rPr>
          <w:spacing w:val="-18"/>
          <w:sz w:val="32"/>
        </w:rPr>
        <w:t> 文档以“高校名称+联系人信息表”命名发送至邮箱：</w:t>
      </w:r>
      <w:hyperlink r:id="rId6">
        <w:r>
          <w:rPr>
            <w:spacing w:val="-18"/>
            <w:sz w:val="32"/>
          </w:rPr>
          <w:t>leiyongchao333@126.com</w:t>
        </w:r>
      </w:hyperlink>
      <w:r>
        <w:rPr>
          <w:spacing w:val="-18"/>
          <w:sz w:val="32"/>
        </w:rPr>
        <w:t>。</w:t>
      </w:r>
    </w:p>
    <w:p>
      <w:pPr>
        <w:pStyle w:val="ListParagraph"/>
        <w:numPr>
          <w:ilvl w:val="0"/>
          <w:numId w:val="4"/>
        </w:numPr>
        <w:tabs>
          <w:tab w:pos="1062" w:val="left" w:leader="none"/>
        </w:tabs>
        <w:spacing w:line="350" w:lineRule="auto" w:before="4" w:after="0"/>
        <w:ind w:left="101" w:right="419" w:firstLine="638"/>
        <w:jc w:val="both"/>
        <w:rPr>
          <w:sz w:val="32"/>
        </w:rPr>
      </w:pPr>
      <w:r>
        <w:rPr>
          <w:spacing w:val="-14"/>
          <w:sz w:val="32"/>
        </w:rPr>
        <w:t>各高校须于 </w:t>
      </w:r>
      <w:r>
        <w:rPr>
          <w:sz w:val="32"/>
        </w:rPr>
        <w:t>2021</w:t>
      </w:r>
      <w:r>
        <w:rPr>
          <w:spacing w:val="-55"/>
          <w:sz w:val="32"/>
        </w:rPr>
        <w:t> 年 </w:t>
      </w:r>
      <w:r>
        <w:rPr>
          <w:sz w:val="32"/>
        </w:rPr>
        <w:t>6</w:t>
      </w:r>
      <w:r>
        <w:rPr>
          <w:spacing w:val="-55"/>
          <w:sz w:val="32"/>
        </w:rPr>
        <w:t> 月 </w:t>
      </w:r>
      <w:r>
        <w:rPr>
          <w:sz w:val="32"/>
        </w:rPr>
        <w:t>11</w:t>
      </w:r>
      <w:r>
        <w:rPr>
          <w:spacing w:val="-19"/>
          <w:sz w:val="32"/>
        </w:rPr>
        <w:t> 日前，将申报课程申报书及</w:t>
      </w:r>
      <w:r>
        <w:rPr>
          <w:spacing w:val="-21"/>
          <w:sz w:val="32"/>
        </w:rPr>
        <w:t>相关材料完成在线审核和申报、推荐、提交工作。申报平台预</w:t>
      </w:r>
      <w:r>
        <w:rPr>
          <w:spacing w:val="-41"/>
          <w:sz w:val="32"/>
        </w:rPr>
        <w:t>计 </w:t>
      </w:r>
      <w:r>
        <w:rPr>
          <w:sz w:val="32"/>
        </w:rPr>
        <w:t>5</w:t>
      </w:r>
      <w:r>
        <w:rPr>
          <w:spacing w:val="-10"/>
          <w:sz w:val="32"/>
        </w:rPr>
        <w:t> 月底开放，平台网址及具体开放时间另行通知。</w:t>
      </w:r>
    </w:p>
    <w:p>
      <w:pPr>
        <w:pStyle w:val="ListParagraph"/>
        <w:numPr>
          <w:ilvl w:val="0"/>
          <w:numId w:val="4"/>
        </w:numPr>
        <w:tabs>
          <w:tab w:pos="1062" w:val="left" w:leader="none"/>
        </w:tabs>
        <w:spacing w:line="350" w:lineRule="auto" w:before="4" w:after="0"/>
        <w:ind w:left="101" w:right="100" w:firstLine="638"/>
        <w:jc w:val="left"/>
        <w:rPr>
          <w:sz w:val="32"/>
        </w:rPr>
      </w:pPr>
      <w:r>
        <w:rPr>
          <w:spacing w:val="-9"/>
          <w:sz w:val="32"/>
        </w:rPr>
        <w:t>本次认定工作不接受纸质申报材料，一律以盖章扫描版、Word</w:t>
      </w:r>
      <w:r>
        <w:rPr>
          <w:spacing w:val="-10"/>
          <w:sz w:val="32"/>
        </w:rPr>
        <w:t> 版形式进行网络填报和提交。</w:t>
      </w:r>
    </w:p>
    <w:p>
      <w:pPr>
        <w:pStyle w:val="ListParagraph"/>
        <w:numPr>
          <w:ilvl w:val="0"/>
          <w:numId w:val="4"/>
        </w:numPr>
        <w:tabs>
          <w:tab w:pos="1062" w:val="left" w:leader="none"/>
        </w:tabs>
        <w:spacing w:line="240" w:lineRule="auto" w:before="3" w:after="0"/>
        <w:ind w:left="1061" w:right="0" w:hanging="322"/>
        <w:jc w:val="left"/>
        <w:rPr>
          <w:sz w:val="32"/>
        </w:rPr>
      </w:pPr>
      <w:r>
        <w:rPr>
          <w:spacing w:val="-7"/>
          <w:sz w:val="32"/>
        </w:rPr>
        <w:t>第二批国家级一流本科课程申报书在线填写、推荐、审</w:t>
      </w:r>
    </w:p>
    <w:p>
      <w:pPr>
        <w:spacing w:after="0" w:line="240" w:lineRule="auto"/>
        <w:jc w:val="left"/>
        <w:rPr>
          <w:sz w:val="32"/>
        </w:rPr>
        <w:sectPr>
          <w:pgSz w:w="11910" w:h="16840"/>
          <w:pgMar w:header="0" w:footer="970" w:top="1580" w:bottom="1160" w:left="1600" w:right="1280"/>
        </w:sectPr>
      </w:pPr>
    </w:p>
    <w:p>
      <w:pPr>
        <w:pStyle w:val="BodyText"/>
        <w:ind w:left="0"/>
        <w:rPr>
          <w:sz w:val="20"/>
        </w:rPr>
      </w:pPr>
    </w:p>
    <w:p>
      <w:pPr>
        <w:pStyle w:val="BodyText"/>
        <w:spacing w:before="4"/>
        <w:ind w:left="0"/>
        <w:rPr>
          <w:sz w:val="27"/>
        </w:rPr>
      </w:pPr>
    </w:p>
    <w:p>
      <w:pPr>
        <w:pStyle w:val="BodyText"/>
        <w:spacing w:before="54"/>
      </w:pPr>
      <w:r>
        <w:rPr/>
        <w:t>核等工作将在确定推荐名单后开展，具体事项另行通知。</w:t>
      </w:r>
    </w:p>
    <w:p>
      <w:pPr>
        <w:pStyle w:val="BodyText"/>
        <w:spacing w:before="190"/>
        <w:ind w:left="740"/>
        <w:rPr>
          <w:rFonts w:ascii="黑体" w:eastAsia="黑体" w:hint="eastAsia"/>
        </w:rPr>
      </w:pPr>
      <w:r>
        <w:rPr>
          <w:rFonts w:ascii="黑体" w:eastAsia="黑体" w:hint="eastAsia"/>
        </w:rPr>
        <w:t>七、相关要求</w:t>
      </w:r>
    </w:p>
    <w:p>
      <w:pPr>
        <w:pStyle w:val="BodyText"/>
        <w:spacing w:line="328" w:lineRule="auto" w:before="159"/>
        <w:ind w:right="258" w:firstLine="638"/>
      </w:pPr>
      <w:r>
        <w:rPr>
          <w:rFonts w:ascii="楷体" w:eastAsia="楷体" w:hint="eastAsia"/>
          <w:b/>
        </w:rPr>
        <w:t>（一</w:t>
      </w:r>
      <w:r>
        <w:rPr>
          <w:rFonts w:ascii="楷体" w:eastAsia="楷体" w:hint="eastAsia"/>
          <w:b/>
          <w:spacing w:val="-72"/>
        </w:rPr>
        <w:t>）</w:t>
      </w:r>
      <w:r>
        <w:rPr>
          <w:rFonts w:ascii="楷体" w:eastAsia="楷体" w:hint="eastAsia"/>
          <w:b/>
          <w:spacing w:val="-11"/>
        </w:rPr>
        <w:t>加强组织领导。</w:t>
      </w:r>
      <w:r>
        <w:rPr/>
        <w:t>各高校要高度重视本次一流本科课</w:t>
      </w:r>
      <w:r>
        <w:rPr>
          <w:spacing w:val="-19"/>
          <w:w w:val="95"/>
        </w:rPr>
        <w:t>程的申报、推荐等组织工作，请仔细研读有关文件，规范评价、 </w:t>
      </w:r>
      <w:r>
        <w:rPr>
          <w:spacing w:val="-19"/>
        </w:rPr>
        <w:t>遴选工作程序，坚持标准、把关严格、结果严肃，宁缺勿滥， 确保课程质量。</w:t>
      </w:r>
    </w:p>
    <w:p>
      <w:pPr>
        <w:pStyle w:val="BodyText"/>
        <w:spacing w:line="328" w:lineRule="auto"/>
        <w:ind w:right="100" w:firstLine="638"/>
      </w:pPr>
      <w:r>
        <w:rPr>
          <w:rFonts w:ascii="楷体" w:eastAsia="楷体" w:hint="eastAsia"/>
          <w:b/>
        </w:rPr>
        <w:t>（二</w:t>
      </w:r>
      <w:r>
        <w:rPr>
          <w:rFonts w:ascii="楷体" w:eastAsia="楷体" w:hint="eastAsia"/>
          <w:b/>
          <w:spacing w:val="-48"/>
        </w:rPr>
        <w:t>）</w:t>
      </w:r>
      <w:r>
        <w:rPr>
          <w:rFonts w:ascii="楷体" w:eastAsia="楷体" w:hint="eastAsia"/>
          <w:b/>
          <w:spacing w:val="-8"/>
        </w:rPr>
        <w:t>严把质量关。</w:t>
      </w:r>
      <w:r>
        <w:rPr>
          <w:spacing w:val="-4"/>
        </w:rPr>
        <w:t>各高校须对申报推荐课程的内容、教 </w:t>
      </w:r>
      <w:r>
        <w:rPr>
          <w:spacing w:val="-13"/>
          <w:w w:val="95"/>
        </w:rPr>
        <w:t>学活动和所有材料进行全面核查，对课程团队以及课程政治性、 </w:t>
      </w:r>
      <w:r>
        <w:rPr>
          <w:spacing w:val="-13"/>
        </w:rPr>
        <w:t>合法性、完整性、真实性和有效性进行严格把关。</w:t>
      </w:r>
    </w:p>
    <w:p>
      <w:pPr>
        <w:pStyle w:val="BodyText"/>
        <w:spacing w:line="328" w:lineRule="auto"/>
        <w:ind w:right="286" w:firstLine="638"/>
      </w:pPr>
      <w:r>
        <w:rPr>
          <w:rFonts w:ascii="楷体" w:eastAsia="楷体" w:hint="eastAsia"/>
          <w:b/>
        </w:rPr>
        <w:t>（三</w:t>
      </w:r>
      <w:r>
        <w:rPr>
          <w:rFonts w:ascii="楷体" w:eastAsia="楷体" w:hint="eastAsia"/>
          <w:b/>
          <w:spacing w:val="-72"/>
        </w:rPr>
        <w:t>）</w:t>
      </w:r>
      <w:r>
        <w:rPr>
          <w:rFonts w:ascii="楷体" w:eastAsia="楷体" w:hint="eastAsia"/>
          <w:b/>
          <w:spacing w:val="-11"/>
        </w:rPr>
        <w:t>严格工作纪律。</w:t>
      </w:r>
      <w:r>
        <w:rPr/>
        <w:t>各高校要严格按照推荐遴选条件和</w:t>
      </w:r>
      <w:r>
        <w:rPr>
          <w:spacing w:val="-1"/>
        </w:rPr>
        <w:t>程序组织推荐工作，将候选课程情况在本单位门户网站公示， </w:t>
      </w:r>
      <w:r>
        <w:rPr/>
        <w:t>并开通监督举报电话和邮箱，公示无异议方能推荐上报。</w:t>
      </w:r>
    </w:p>
    <w:p>
      <w:pPr>
        <w:pStyle w:val="BodyText"/>
        <w:spacing w:line="350" w:lineRule="auto" w:before="13"/>
        <w:ind w:right="258" w:firstLine="638"/>
      </w:pPr>
      <w:r>
        <w:rPr>
          <w:rFonts w:ascii="楷体" w:eastAsia="楷体" w:hint="eastAsia"/>
          <w:b/>
          <w:w w:val="95"/>
        </w:rPr>
        <w:t>（四</w:t>
      </w:r>
      <w:r>
        <w:rPr>
          <w:rFonts w:ascii="楷体" w:eastAsia="楷体" w:hint="eastAsia"/>
          <w:b/>
          <w:spacing w:val="-154"/>
          <w:w w:val="95"/>
        </w:rPr>
        <w:t>）</w:t>
      </w:r>
      <w:r>
        <w:rPr>
          <w:rFonts w:ascii="楷体" w:eastAsia="楷体" w:hint="eastAsia"/>
          <w:b/>
          <w:spacing w:val="-22"/>
          <w:w w:val="95"/>
        </w:rPr>
        <w:t>内容真实可靠。</w:t>
      </w:r>
      <w:r>
        <w:rPr>
          <w:w w:val="95"/>
        </w:rPr>
        <w:t>申报课程负责人须如实填写申报表， </w:t>
      </w:r>
      <w:r>
        <w:rPr>
          <w:spacing w:val="-20"/>
          <w:w w:val="95"/>
        </w:rPr>
        <w:t>提交有关材料。凡存在弄虚作假、徇私舞弊行为者，一经查实， </w:t>
      </w:r>
      <w:r>
        <w:rPr>
          <w:spacing w:val="-20"/>
        </w:rPr>
        <w:t>取消其评选资格，且连续三届不得申报省教育厅的各类评奖。</w:t>
      </w:r>
      <w:r>
        <w:rPr>
          <w:spacing w:val="-19"/>
        </w:rPr>
        <w:t>学校党委要把好关，凡申报推荐工作出现严重问题的，连续三届不得申报省教育厅本类评奖。</w:t>
      </w:r>
    </w:p>
    <w:p>
      <w:pPr>
        <w:pStyle w:val="BodyText"/>
        <w:spacing w:line="350" w:lineRule="auto" w:before="7"/>
        <w:ind w:right="262" w:firstLine="638"/>
      </w:pPr>
      <w:r>
        <w:rPr>
          <w:rFonts w:ascii="楷体" w:eastAsia="楷体" w:hint="eastAsia"/>
          <w:b/>
        </w:rPr>
        <w:t>（五</w:t>
      </w:r>
      <w:r>
        <w:rPr>
          <w:rFonts w:ascii="楷体" w:eastAsia="楷体" w:hint="eastAsia"/>
          <w:b/>
          <w:spacing w:val="-48"/>
        </w:rPr>
        <w:t>）</w:t>
      </w:r>
      <w:r>
        <w:rPr>
          <w:rFonts w:ascii="楷体" w:eastAsia="楷体" w:hint="eastAsia"/>
          <w:b/>
          <w:spacing w:val="-6"/>
        </w:rPr>
        <w:t>加强认定后管理。</w:t>
      </w:r>
      <w:r>
        <w:rPr>
          <w:spacing w:val="-7"/>
        </w:rPr>
        <w:t>被认定省级、国家级一流本科课</w:t>
      </w:r>
      <w:r>
        <w:rPr>
          <w:spacing w:val="-13"/>
        </w:rPr>
        <w:t>程，自认定结果公布之日起，应按照各类课程要求开放共享或</w:t>
      </w:r>
      <w:r>
        <w:rPr>
          <w:spacing w:val="-23"/>
        </w:rPr>
        <w:t>持续建设不少于 </w:t>
      </w:r>
      <w:r>
        <w:rPr/>
        <w:t>5</w:t>
      </w:r>
      <w:r>
        <w:rPr>
          <w:spacing w:val="-10"/>
        </w:rPr>
        <w:t> 年。省教育厅将对一流课程实施动态管理， </w:t>
      </w:r>
      <w:r>
        <w:rPr>
          <w:spacing w:val="-22"/>
          <w:w w:val="95"/>
        </w:rPr>
        <w:t>对课程实际应用、教学效果和共享等进行跟踪监测，定期检查，</w:t>
      </w:r>
    </w:p>
    <w:p>
      <w:pPr>
        <w:spacing w:after="0" w:line="350" w:lineRule="auto"/>
        <w:sectPr>
          <w:pgSz w:w="11910" w:h="16840"/>
          <w:pgMar w:header="0" w:footer="970" w:top="1580" w:bottom="1160" w:left="1600" w:right="1280"/>
        </w:sectPr>
      </w:pPr>
    </w:p>
    <w:p>
      <w:pPr>
        <w:pStyle w:val="BodyText"/>
        <w:ind w:left="0"/>
        <w:rPr>
          <w:sz w:val="20"/>
        </w:rPr>
      </w:pPr>
    </w:p>
    <w:p>
      <w:pPr>
        <w:pStyle w:val="BodyText"/>
        <w:spacing w:before="4"/>
        <w:ind w:left="0"/>
        <w:rPr>
          <w:sz w:val="27"/>
        </w:rPr>
      </w:pPr>
    </w:p>
    <w:p>
      <w:pPr>
        <w:pStyle w:val="BodyText"/>
        <w:spacing w:line="350" w:lineRule="auto" w:before="54"/>
        <w:ind w:right="421"/>
      </w:pPr>
      <w:r>
        <w:rPr>
          <w:spacing w:val="-11"/>
          <w:w w:val="95"/>
        </w:rPr>
        <w:t>对于未持续更新完善、出现严重质量问题、课程团队成员出现 </w:t>
      </w:r>
      <w:r>
        <w:rPr>
          <w:spacing w:val="-11"/>
        </w:rPr>
        <w:t>师德师风等问题的课程，将取消一流本科课程资格。</w:t>
      </w:r>
    </w:p>
    <w:p>
      <w:pPr>
        <w:pStyle w:val="BodyText"/>
        <w:spacing w:before="3"/>
        <w:ind w:left="740"/>
        <w:rPr>
          <w:rFonts w:ascii="黑体" w:eastAsia="黑体" w:hint="eastAsia"/>
        </w:rPr>
      </w:pPr>
      <w:r>
        <w:rPr>
          <w:rFonts w:ascii="黑体" w:eastAsia="黑体" w:hint="eastAsia"/>
        </w:rPr>
        <w:t>八、联系方式</w:t>
      </w:r>
    </w:p>
    <w:p>
      <w:pPr>
        <w:pStyle w:val="BodyText"/>
        <w:spacing w:line="350" w:lineRule="auto" w:before="190"/>
        <w:ind w:right="286" w:firstLine="638"/>
      </w:pPr>
      <w:r>
        <w:rPr/>
        <w:t>省教育厅高等教育处， 联系人: 雷永超、 电话： </w:t>
      </w:r>
      <w:r>
        <w:rPr>
          <w:w w:val="95"/>
        </w:rPr>
        <w:t>0451-53623756，吴春燕、电话：0451-86413467，电子邮箱：</w:t>
      </w:r>
      <w:hyperlink r:id="rId6">
        <w:r>
          <w:rPr>
            <w:w w:val="95"/>
          </w:rPr>
          <w:t> </w:t>
        </w:r>
        <w:r>
          <w:rPr/>
          <w:t>leiyongchao333@126.com</w:t>
        </w:r>
      </w:hyperlink>
      <w:r>
        <w:rPr/>
        <w:t>。</w:t>
      </w:r>
    </w:p>
    <w:p>
      <w:pPr>
        <w:pStyle w:val="BodyText"/>
        <w:ind w:left="0"/>
      </w:pPr>
    </w:p>
    <w:p>
      <w:pPr>
        <w:pStyle w:val="BodyText"/>
        <w:ind w:left="0"/>
      </w:pPr>
    </w:p>
    <w:p>
      <w:pPr>
        <w:pStyle w:val="BodyText"/>
        <w:ind w:left="0"/>
        <w:rPr>
          <w:sz w:val="30"/>
        </w:rPr>
      </w:pPr>
    </w:p>
    <w:p>
      <w:pPr>
        <w:pStyle w:val="BodyText"/>
        <w:spacing w:line="350" w:lineRule="auto"/>
        <w:ind w:left="1712" w:right="756" w:hanging="972"/>
      </w:pPr>
      <w:r>
        <w:rPr/>
        <w:t>附件：1.第二批省级一流本科课程名额分配方案2.2019 年省级精品在线开放课程（培育）名单</w:t>
      </w:r>
    </w:p>
    <w:p>
      <w:pPr>
        <w:pStyle w:val="ListParagraph"/>
        <w:numPr>
          <w:ilvl w:val="1"/>
          <w:numId w:val="4"/>
        </w:numPr>
        <w:tabs>
          <w:tab w:pos="2034" w:val="left" w:leader="none"/>
        </w:tabs>
        <w:spacing w:line="240" w:lineRule="auto" w:before="3" w:after="0"/>
        <w:ind w:left="2033" w:right="0" w:hanging="322"/>
        <w:jc w:val="left"/>
        <w:rPr>
          <w:sz w:val="32"/>
        </w:rPr>
      </w:pPr>
      <w:r>
        <w:rPr>
          <w:sz w:val="32"/>
        </w:rPr>
        <w:t>修改完善说明和证明性材料模板</w:t>
      </w:r>
    </w:p>
    <w:p>
      <w:pPr>
        <w:pStyle w:val="ListParagraph"/>
        <w:numPr>
          <w:ilvl w:val="1"/>
          <w:numId w:val="4"/>
        </w:numPr>
        <w:tabs>
          <w:tab w:pos="2034" w:val="left" w:leader="none"/>
        </w:tabs>
        <w:spacing w:line="240" w:lineRule="auto" w:before="190" w:after="0"/>
        <w:ind w:left="2033" w:right="0" w:hanging="322"/>
        <w:jc w:val="left"/>
        <w:rPr>
          <w:sz w:val="32"/>
        </w:rPr>
      </w:pPr>
      <w:r>
        <w:rPr>
          <w:sz w:val="32"/>
        </w:rPr>
        <w:t>课程团队成员和课程内容政治审查意见表</w:t>
      </w:r>
    </w:p>
    <w:p>
      <w:pPr>
        <w:pStyle w:val="ListParagraph"/>
        <w:numPr>
          <w:ilvl w:val="1"/>
          <w:numId w:val="4"/>
        </w:numPr>
        <w:tabs>
          <w:tab w:pos="2034" w:val="left" w:leader="none"/>
        </w:tabs>
        <w:spacing w:line="240" w:lineRule="auto" w:before="190" w:after="0"/>
        <w:ind w:left="2033" w:right="0" w:hanging="322"/>
        <w:jc w:val="left"/>
        <w:rPr>
          <w:sz w:val="32"/>
        </w:rPr>
      </w:pPr>
      <w:r>
        <w:rPr>
          <w:sz w:val="32"/>
        </w:rPr>
        <w:t>第二批省级一流课程申报书</w:t>
      </w:r>
    </w:p>
    <w:p>
      <w:pPr>
        <w:pStyle w:val="ListParagraph"/>
        <w:numPr>
          <w:ilvl w:val="1"/>
          <w:numId w:val="4"/>
        </w:numPr>
        <w:tabs>
          <w:tab w:pos="2034" w:val="left" w:leader="none"/>
        </w:tabs>
        <w:spacing w:line="240" w:lineRule="auto" w:before="190" w:after="0"/>
        <w:ind w:left="2033" w:right="0" w:hanging="322"/>
        <w:jc w:val="left"/>
        <w:rPr>
          <w:sz w:val="32"/>
        </w:rPr>
      </w:pPr>
      <w:r>
        <w:rPr>
          <w:sz w:val="32"/>
        </w:rPr>
        <w:t>第二批省级一流本科课程申报备案表</w:t>
      </w:r>
    </w:p>
    <w:p>
      <w:pPr>
        <w:pStyle w:val="ListParagraph"/>
        <w:numPr>
          <w:ilvl w:val="1"/>
          <w:numId w:val="4"/>
        </w:numPr>
        <w:tabs>
          <w:tab w:pos="2034" w:val="left" w:leader="none"/>
        </w:tabs>
        <w:spacing w:line="240" w:lineRule="auto" w:before="190" w:after="0"/>
        <w:ind w:left="2033" w:right="0" w:hanging="322"/>
        <w:jc w:val="left"/>
        <w:rPr>
          <w:sz w:val="32"/>
        </w:rPr>
      </w:pPr>
      <w:r>
        <w:rPr>
          <w:sz w:val="32"/>
        </w:rPr>
        <w:t>第二批国家级一流课程申报书</w:t>
      </w:r>
    </w:p>
    <w:p>
      <w:pPr>
        <w:pStyle w:val="ListParagraph"/>
        <w:numPr>
          <w:ilvl w:val="1"/>
          <w:numId w:val="4"/>
        </w:numPr>
        <w:tabs>
          <w:tab w:pos="2034" w:val="left" w:leader="none"/>
        </w:tabs>
        <w:spacing w:line="240" w:lineRule="auto" w:before="190" w:after="0"/>
        <w:ind w:left="2033" w:right="0" w:hanging="322"/>
        <w:jc w:val="left"/>
        <w:rPr>
          <w:sz w:val="32"/>
        </w:rPr>
      </w:pPr>
      <w:r>
        <w:rPr>
          <w:sz w:val="32"/>
        </w:rPr>
        <w:t>第二批国家级一流本科课程申报备案表</w:t>
      </w:r>
    </w:p>
    <w:p>
      <w:pPr>
        <w:pStyle w:val="ListParagraph"/>
        <w:numPr>
          <w:ilvl w:val="1"/>
          <w:numId w:val="4"/>
        </w:numPr>
        <w:tabs>
          <w:tab w:pos="2034" w:val="left" w:leader="none"/>
        </w:tabs>
        <w:spacing w:line="240" w:lineRule="auto" w:before="190" w:after="0"/>
        <w:ind w:left="2033" w:right="0" w:hanging="322"/>
        <w:jc w:val="left"/>
        <w:rPr>
          <w:sz w:val="32"/>
        </w:rPr>
      </w:pPr>
      <w:r>
        <w:rPr>
          <w:sz w:val="32"/>
        </w:rPr>
        <w:t>第二批一流本科课程申报汇总表</w:t>
      </w:r>
    </w:p>
    <w:p>
      <w:pPr>
        <w:pStyle w:val="ListParagraph"/>
        <w:numPr>
          <w:ilvl w:val="1"/>
          <w:numId w:val="4"/>
        </w:numPr>
        <w:tabs>
          <w:tab w:pos="2192" w:val="left" w:leader="none"/>
        </w:tabs>
        <w:spacing w:line="240" w:lineRule="auto" w:before="190" w:after="0"/>
        <w:ind w:left="2192" w:right="0" w:hanging="480"/>
        <w:jc w:val="left"/>
        <w:rPr>
          <w:sz w:val="32"/>
        </w:rPr>
      </w:pPr>
      <w:r>
        <w:rPr>
          <w:sz w:val="32"/>
        </w:rPr>
        <w:t>第二批一流本科课程认定工作联系人</w:t>
      </w:r>
    </w:p>
    <w:p>
      <w:pPr>
        <w:pStyle w:val="BodyText"/>
        <w:ind w:left="0"/>
      </w:pPr>
    </w:p>
    <w:p>
      <w:pPr>
        <w:pStyle w:val="BodyText"/>
        <w:spacing w:before="8"/>
        <w:ind w:left="0"/>
        <w:rPr>
          <w:sz w:val="29"/>
        </w:rPr>
      </w:pPr>
    </w:p>
    <w:p>
      <w:pPr>
        <w:pStyle w:val="BodyText"/>
        <w:spacing w:line="350" w:lineRule="auto"/>
        <w:ind w:left="5547" w:right="997" w:hanging="8"/>
      </w:pPr>
      <w:r>
        <w:rPr/>
        <w:t>黑龙江省教育厅2021</w:t>
      </w:r>
      <w:r>
        <w:rPr>
          <w:spacing w:val="-54"/>
        </w:rPr>
        <w:t> 年 </w:t>
      </w:r>
      <w:r>
        <w:rPr/>
        <w:t>5</w:t>
      </w:r>
      <w:r>
        <w:rPr>
          <w:spacing w:val="-55"/>
        </w:rPr>
        <w:t> 月 </w:t>
      </w:r>
      <w:r>
        <w:rPr/>
        <w:t>13</w:t>
      </w:r>
      <w:r>
        <w:rPr>
          <w:spacing w:val="-47"/>
        </w:rPr>
        <w:t> 日</w:t>
      </w:r>
    </w:p>
    <w:sectPr>
      <w:pgSz w:w="11910" w:h="16840"/>
      <w:pgMar w:header="0" w:footer="970" w:top="1580" w:bottom="1160" w:left="1600" w:right="12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 w:name="PMingLiU">
    <w:altName w:val="PMingLiU"/>
    <w:charset w:val="0"/>
    <w:family w:val="roman"/>
    <w:pitch w:val="variable"/>
  </w:font>
  <w:font w:name="仿宋">
    <w:altName w:val="仿宋"/>
    <w:charset w:val="86"/>
    <w:family w:val="modern"/>
    <w:pitch w:val="fixed"/>
  </w:font>
  <w:font w:name="黑体">
    <w:altName w:val="黑体"/>
    <w:charset w:val="86"/>
    <w:family w:val="modern"/>
    <w:pitch w:val="fixed"/>
  </w:font>
  <w:font w:name="楷体">
    <w:altName w:val="楷体"/>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type id="_x0000_t202" o:spt="202" coordsize="21600,21600" path="m,l,21600r21600,l21600,xe">
          <v:stroke joinstyle="miter"/>
          <v:path gradientshapeok="t" o:connecttype="rect"/>
        </v:shapetype>
        <v:shape style="position:absolute;margin-left:293.320007pt;margin-top:782.380005pt;width:8.6pt;height:11pt;mso-position-horizontal-relative:page;mso-position-vertical-relative:page;z-index:-251800576" type="#_x0000_t202" filled="false" stroked="false">
          <v:textbox inset="0,0,0,0">
            <w:txbxContent>
              <w:p>
                <w:pPr>
                  <w:spacing w:line="203" w:lineRule="exact" w:before="0"/>
                  <w:ind w:left="40" w:right="0" w:firstLine="0"/>
                  <w:jc w:val="left"/>
                  <w:rPr>
                    <w:rFonts w:ascii="Calibri"/>
                    <w:sz w:val="18"/>
                  </w:rPr>
                </w:pPr>
                <w:r>
                  <w:rPr/>
                  <w:fldChar w:fldCharType="begin"/>
                </w:r>
                <w:r>
                  <w:rPr>
                    <w:rFonts w:ascii="Calibri"/>
                    <w:sz w:val="18"/>
                  </w:rPr>
                  <w:instrText> PAGE </w:instrText>
                </w:r>
                <w:r>
                  <w:rPr/>
                  <w:fldChar w:fldCharType="separate"/>
                </w:r>
                <w:r>
                  <w:rPr/>
                  <w:t>1</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decimal"/>
      <w:lvlText w:val="%1."/>
      <w:lvlJc w:val="left"/>
      <w:pPr>
        <w:ind w:left="101" w:hanging="322"/>
        <w:jc w:val="left"/>
      </w:pPr>
      <w:rPr>
        <w:rFonts w:hint="default" w:ascii="仿宋" w:hAnsi="仿宋" w:eastAsia="仿宋" w:cs="仿宋"/>
        <w:spacing w:val="1"/>
        <w:w w:val="99"/>
        <w:sz w:val="30"/>
        <w:szCs w:val="30"/>
        <w:lang w:val="zh-CN" w:eastAsia="zh-CN" w:bidi="zh-CN"/>
      </w:rPr>
    </w:lvl>
    <w:lvl w:ilvl="1">
      <w:start w:val="3"/>
      <w:numFmt w:val="decimal"/>
      <w:lvlText w:val="%2."/>
      <w:lvlJc w:val="left"/>
      <w:pPr>
        <w:ind w:left="2033" w:hanging="322"/>
        <w:jc w:val="left"/>
      </w:pPr>
      <w:rPr>
        <w:rFonts w:hint="default" w:ascii="仿宋" w:hAnsi="仿宋" w:eastAsia="仿宋" w:cs="仿宋"/>
        <w:spacing w:val="-2"/>
        <w:w w:val="99"/>
        <w:sz w:val="30"/>
        <w:szCs w:val="30"/>
        <w:lang w:val="zh-CN" w:eastAsia="zh-CN" w:bidi="zh-CN"/>
      </w:rPr>
    </w:lvl>
    <w:lvl w:ilvl="2">
      <w:start w:val="0"/>
      <w:numFmt w:val="bullet"/>
      <w:lvlText w:val="•"/>
      <w:lvlJc w:val="left"/>
      <w:pPr>
        <w:ind w:left="2816" w:hanging="322"/>
      </w:pPr>
      <w:rPr>
        <w:rFonts w:hint="default"/>
        <w:lang w:val="zh-CN" w:eastAsia="zh-CN" w:bidi="zh-CN"/>
      </w:rPr>
    </w:lvl>
    <w:lvl w:ilvl="3">
      <w:start w:val="0"/>
      <w:numFmt w:val="bullet"/>
      <w:lvlText w:val="•"/>
      <w:lvlJc w:val="left"/>
      <w:pPr>
        <w:ind w:left="3592" w:hanging="322"/>
      </w:pPr>
      <w:rPr>
        <w:rFonts w:hint="default"/>
        <w:lang w:val="zh-CN" w:eastAsia="zh-CN" w:bidi="zh-CN"/>
      </w:rPr>
    </w:lvl>
    <w:lvl w:ilvl="4">
      <w:start w:val="0"/>
      <w:numFmt w:val="bullet"/>
      <w:lvlText w:val="•"/>
      <w:lvlJc w:val="left"/>
      <w:pPr>
        <w:ind w:left="4368" w:hanging="322"/>
      </w:pPr>
      <w:rPr>
        <w:rFonts w:hint="default"/>
        <w:lang w:val="zh-CN" w:eastAsia="zh-CN" w:bidi="zh-CN"/>
      </w:rPr>
    </w:lvl>
    <w:lvl w:ilvl="5">
      <w:start w:val="0"/>
      <w:numFmt w:val="bullet"/>
      <w:lvlText w:val="•"/>
      <w:lvlJc w:val="left"/>
      <w:pPr>
        <w:ind w:left="5144" w:hanging="322"/>
      </w:pPr>
      <w:rPr>
        <w:rFonts w:hint="default"/>
        <w:lang w:val="zh-CN" w:eastAsia="zh-CN" w:bidi="zh-CN"/>
      </w:rPr>
    </w:lvl>
    <w:lvl w:ilvl="6">
      <w:start w:val="0"/>
      <w:numFmt w:val="bullet"/>
      <w:lvlText w:val="•"/>
      <w:lvlJc w:val="left"/>
      <w:pPr>
        <w:ind w:left="5921" w:hanging="322"/>
      </w:pPr>
      <w:rPr>
        <w:rFonts w:hint="default"/>
        <w:lang w:val="zh-CN" w:eastAsia="zh-CN" w:bidi="zh-CN"/>
      </w:rPr>
    </w:lvl>
    <w:lvl w:ilvl="7">
      <w:start w:val="0"/>
      <w:numFmt w:val="bullet"/>
      <w:lvlText w:val="•"/>
      <w:lvlJc w:val="left"/>
      <w:pPr>
        <w:ind w:left="6697" w:hanging="322"/>
      </w:pPr>
      <w:rPr>
        <w:rFonts w:hint="default"/>
        <w:lang w:val="zh-CN" w:eastAsia="zh-CN" w:bidi="zh-CN"/>
      </w:rPr>
    </w:lvl>
    <w:lvl w:ilvl="8">
      <w:start w:val="0"/>
      <w:numFmt w:val="bullet"/>
      <w:lvlText w:val="•"/>
      <w:lvlJc w:val="left"/>
      <w:pPr>
        <w:ind w:left="7473" w:hanging="322"/>
      </w:pPr>
      <w:rPr>
        <w:rFonts w:hint="default"/>
        <w:lang w:val="zh-CN" w:eastAsia="zh-CN" w:bidi="zh-CN"/>
      </w:rPr>
    </w:lvl>
  </w:abstractNum>
  <w:abstractNum w:abstractNumId="2">
    <w:multiLevelType w:val="hybridMultilevel"/>
    <w:lvl w:ilvl="0">
      <w:start w:val="1"/>
      <w:numFmt w:val="decimal"/>
      <w:lvlText w:val="%1."/>
      <w:lvlJc w:val="left"/>
      <w:pPr>
        <w:ind w:left="101" w:hanging="322"/>
        <w:jc w:val="left"/>
      </w:pPr>
      <w:rPr>
        <w:rFonts w:hint="default" w:ascii="仿宋" w:hAnsi="仿宋" w:eastAsia="仿宋" w:cs="仿宋"/>
        <w:spacing w:val="1"/>
        <w:w w:val="99"/>
        <w:sz w:val="30"/>
        <w:szCs w:val="30"/>
        <w:lang w:val="zh-CN" w:eastAsia="zh-CN" w:bidi="zh-CN"/>
      </w:rPr>
    </w:lvl>
    <w:lvl w:ilvl="1">
      <w:start w:val="0"/>
      <w:numFmt w:val="bullet"/>
      <w:lvlText w:val="•"/>
      <w:lvlJc w:val="left"/>
      <w:pPr>
        <w:ind w:left="992" w:hanging="322"/>
      </w:pPr>
      <w:rPr>
        <w:rFonts w:hint="default"/>
        <w:lang w:val="zh-CN" w:eastAsia="zh-CN" w:bidi="zh-CN"/>
      </w:rPr>
    </w:lvl>
    <w:lvl w:ilvl="2">
      <w:start w:val="0"/>
      <w:numFmt w:val="bullet"/>
      <w:lvlText w:val="•"/>
      <w:lvlJc w:val="left"/>
      <w:pPr>
        <w:ind w:left="1885" w:hanging="322"/>
      </w:pPr>
      <w:rPr>
        <w:rFonts w:hint="default"/>
        <w:lang w:val="zh-CN" w:eastAsia="zh-CN" w:bidi="zh-CN"/>
      </w:rPr>
    </w:lvl>
    <w:lvl w:ilvl="3">
      <w:start w:val="0"/>
      <w:numFmt w:val="bullet"/>
      <w:lvlText w:val="•"/>
      <w:lvlJc w:val="left"/>
      <w:pPr>
        <w:ind w:left="2777" w:hanging="322"/>
      </w:pPr>
      <w:rPr>
        <w:rFonts w:hint="default"/>
        <w:lang w:val="zh-CN" w:eastAsia="zh-CN" w:bidi="zh-CN"/>
      </w:rPr>
    </w:lvl>
    <w:lvl w:ilvl="4">
      <w:start w:val="0"/>
      <w:numFmt w:val="bullet"/>
      <w:lvlText w:val="•"/>
      <w:lvlJc w:val="left"/>
      <w:pPr>
        <w:ind w:left="3670" w:hanging="322"/>
      </w:pPr>
      <w:rPr>
        <w:rFonts w:hint="default"/>
        <w:lang w:val="zh-CN" w:eastAsia="zh-CN" w:bidi="zh-CN"/>
      </w:rPr>
    </w:lvl>
    <w:lvl w:ilvl="5">
      <w:start w:val="0"/>
      <w:numFmt w:val="bullet"/>
      <w:lvlText w:val="•"/>
      <w:lvlJc w:val="left"/>
      <w:pPr>
        <w:ind w:left="4563" w:hanging="322"/>
      </w:pPr>
      <w:rPr>
        <w:rFonts w:hint="default"/>
        <w:lang w:val="zh-CN" w:eastAsia="zh-CN" w:bidi="zh-CN"/>
      </w:rPr>
    </w:lvl>
    <w:lvl w:ilvl="6">
      <w:start w:val="0"/>
      <w:numFmt w:val="bullet"/>
      <w:lvlText w:val="•"/>
      <w:lvlJc w:val="left"/>
      <w:pPr>
        <w:ind w:left="5455" w:hanging="322"/>
      </w:pPr>
      <w:rPr>
        <w:rFonts w:hint="default"/>
        <w:lang w:val="zh-CN" w:eastAsia="zh-CN" w:bidi="zh-CN"/>
      </w:rPr>
    </w:lvl>
    <w:lvl w:ilvl="7">
      <w:start w:val="0"/>
      <w:numFmt w:val="bullet"/>
      <w:lvlText w:val="•"/>
      <w:lvlJc w:val="left"/>
      <w:pPr>
        <w:ind w:left="6348" w:hanging="322"/>
      </w:pPr>
      <w:rPr>
        <w:rFonts w:hint="default"/>
        <w:lang w:val="zh-CN" w:eastAsia="zh-CN" w:bidi="zh-CN"/>
      </w:rPr>
    </w:lvl>
    <w:lvl w:ilvl="8">
      <w:start w:val="0"/>
      <w:numFmt w:val="bullet"/>
      <w:lvlText w:val="•"/>
      <w:lvlJc w:val="left"/>
      <w:pPr>
        <w:ind w:left="7240" w:hanging="322"/>
      </w:pPr>
      <w:rPr>
        <w:rFonts w:hint="default"/>
        <w:lang w:val="zh-CN" w:eastAsia="zh-CN" w:bidi="zh-CN"/>
      </w:rPr>
    </w:lvl>
  </w:abstractNum>
  <w:abstractNum w:abstractNumId="1">
    <w:multiLevelType w:val="hybridMultilevel"/>
    <w:lvl w:ilvl="0">
      <w:start w:val="1"/>
      <w:numFmt w:val="decimal"/>
      <w:lvlText w:val="%1."/>
      <w:lvlJc w:val="left"/>
      <w:pPr>
        <w:ind w:left="1064" w:hanging="324"/>
        <w:jc w:val="left"/>
      </w:pPr>
      <w:rPr>
        <w:rFonts w:hint="default" w:ascii="仿宋" w:hAnsi="仿宋" w:eastAsia="仿宋" w:cs="仿宋"/>
        <w:spacing w:val="1"/>
        <w:w w:val="99"/>
        <w:sz w:val="30"/>
        <w:szCs w:val="30"/>
        <w:lang w:val="zh-CN" w:eastAsia="zh-CN" w:bidi="zh-CN"/>
      </w:rPr>
    </w:lvl>
    <w:lvl w:ilvl="1">
      <w:start w:val="0"/>
      <w:numFmt w:val="bullet"/>
      <w:lvlText w:val="•"/>
      <w:lvlJc w:val="left"/>
      <w:pPr>
        <w:ind w:left="1856" w:hanging="324"/>
      </w:pPr>
      <w:rPr>
        <w:rFonts w:hint="default"/>
        <w:lang w:val="zh-CN" w:eastAsia="zh-CN" w:bidi="zh-CN"/>
      </w:rPr>
    </w:lvl>
    <w:lvl w:ilvl="2">
      <w:start w:val="0"/>
      <w:numFmt w:val="bullet"/>
      <w:lvlText w:val="•"/>
      <w:lvlJc w:val="left"/>
      <w:pPr>
        <w:ind w:left="2653" w:hanging="324"/>
      </w:pPr>
      <w:rPr>
        <w:rFonts w:hint="default"/>
        <w:lang w:val="zh-CN" w:eastAsia="zh-CN" w:bidi="zh-CN"/>
      </w:rPr>
    </w:lvl>
    <w:lvl w:ilvl="3">
      <w:start w:val="0"/>
      <w:numFmt w:val="bullet"/>
      <w:lvlText w:val="•"/>
      <w:lvlJc w:val="left"/>
      <w:pPr>
        <w:ind w:left="3449" w:hanging="324"/>
      </w:pPr>
      <w:rPr>
        <w:rFonts w:hint="default"/>
        <w:lang w:val="zh-CN" w:eastAsia="zh-CN" w:bidi="zh-CN"/>
      </w:rPr>
    </w:lvl>
    <w:lvl w:ilvl="4">
      <w:start w:val="0"/>
      <w:numFmt w:val="bullet"/>
      <w:lvlText w:val="•"/>
      <w:lvlJc w:val="left"/>
      <w:pPr>
        <w:ind w:left="4246" w:hanging="324"/>
      </w:pPr>
      <w:rPr>
        <w:rFonts w:hint="default"/>
        <w:lang w:val="zh-CN" w:eastAsia="zh-CN" w:bidi="zh-CN"/>
      </w:rPr>
    </w:lvl>
    <w:lvl w:ilvl="5">
      <w:start w:val="0"/>
      <w:numFmt w:val="bullet"/>
      <w:lvlText w:val="•"/>
      <w:lvlJc w:val="left"/>
      <w:pPr>
        <w:ind w:left="5043" w:hanging="324"/>
      </w:pPr>
      <w:rPr>
        <w:rFonts w:hint="default"/>
        <w:lang w:val="zh-CN" w:eastAsia="zh-CN" w:bidi="zh-CN"/>
      </w:rPr>
    </w:lvl>
    <w:lvl w:ilvl="6">
      <w:start w:val="0"/>
      <w:numFmt w:val="bullet"/>
      <w:lvlText w:val="•"/>
      <w:lvlJc w:val="left"/>
      <w:pPr>
        <w:ind w:left="5839" w:hanging="324"/>
      </w:pPr>
      <w:rPr>
        <w:rFonts w:hint="default"/>
        <w:lang w:val="zh-CN" w:eastAsia="zh-CN" w:bidi="zh-CN"/>
      </w:rPr>
    </w:lvl>
    <w:lvl w:ilvl="7">
      <w:start w:val="0"/>
      <w:numFmt w:val="bullet"/>
      <w:lvlText w:val="•"/>
      <w:lvlJc w:val="left"/>
      <w:pPr>
        <w:ind w:left="6636" w:hanging="324"/>
      </w:pPr>
      <w:rPr>
        <w:rFonts w:hint="default"/>
        <w:lang w:val="zh-CN" w:eastAsia="zh-CN" w:bidi="zh-CN"/>
      </w:rPr>
    </w:lvl>
    <w:lvl w:ilvl="8">
      <w:start w:val="0"/>
      <w:numFmt w:val="bullet"/>
      <w:lvlText w:val="•"/>
      <w:lvlJc w:val="left"/>
      <w:pPr>
        <w:ind w:left="7432" w:hanging="324"/>
      </w:pPr>
      <w:rPr>
        <w:rFonts w:hint="default"/>
        <w:lang w:val="zh-CN" w:eastAsia="zh-CN" w:bidi="zh-CN"/>
      </w:rPr>
    </w:lvl>
  </w:abstractNum>
  <w:abstractNum w:abstractNumId="0">
    <w:multiLevelType w:val="hybridMultilevel"/>
    <w:lvl w:ilvl="0">
      <w:start w:val="1"/>
      <w:numFmt w:val="decimal"/>
      <w:lvlText w:val="%1."/>
      <w:lvlJc w:val="left"/>
      <w:pPr>
        <w:ind w:left="1068" w:hanging="329"/>
        <w:jc w:val="left"/>
      </w:pPr>
      <w:rPr>
        <w:rFonts w:hint="default" w:ascii="楷体" w:hAnsi="楷体" w:eastAsia="楷体" w:cs="楷体"/>
        <w:b/>
        <w:bCs/>
        <w:spacing w:val="3"/>
        <w:w w:val="98"/>
        <w:sz w:val="30"/>
        <w:szCs w:val="30"/>
        <w:lang w:val="zh-CN" w:eastAsia="zh-CN" w:bidi="zh-CN"/>
      </w:rPr>
    </w:lvl>
    <w:lvl w:ilvl="1">
      <w:start w:val="0"/>
      <w:numFmt w:val="bullet"/>
      <w:lvlText w:val="•"/>
      <w:lvlJc w:val="left"/>
      <w:pPr>
        <w:ind w:left="1856" w:hanging="329"/>
      </w:pPr>
      <w:rPr>
        <w:rFonts w:hint="default"/>
        <w:lang w:val="zh-CN" w:eastAsia="zh-CN" w:bidi="zh-CN"/>
      </w:rPr>
    </w:lvl>
    <w:lvl w:ilvl="2">
      <w:start w:val="0"/>
      <w:numFmt w:val="bullet"/>
      <w:lvlText w:val="•"/>
      <w:lvlJc w:val="left"/>
      <w:pPr>
        <w:ind w:left="2653" w:hanging="329"/>
      </w:pPr>
      <w:rPr>
        <w:rFonts w:hint="default"/>
        <w:lang w:val="zh-CN" w:eastAsia="zh-CN" w:bidi="zh-CN"/>
      </w:rPr>
    </w:lvl>
    <w:lvl w:ilvl="3">
      <w:start w:val="0"/>
      <w:numFmt w:val="bullet"/>
      <w:lvlText w:val="•"/>
      <w:lvlJc w:val="left"/>
      <w:pPr>
        <w:ind w:left="3449" w:hanging="329"/>
      </w:pPr>
      <w:rPr>
        <w:rFonts w:hint="default"/>
        <w:lang w:val="zh-CN" w:eastAsia="zh-CN" w:bidi="zh-CN"/>
      </w:rPr>
    </w:lvl>
    <w:lvl w:ilvl="4">
      <w:start w:val="0"/>
      <w:numFmt w:val="bullet"/>
      <w:lvlText w:val="•"/>
      <w:lvlJc w:val="left"/>
      <w:pPr>
        <w:ind w:left="4246" w:hanging="329"/>
      </w:pPr>
      <w:rPr>
        <w:rFonts w:hint="default"/>
        <w:lang w:val="zh-CN" w:eastAsia="zh-CN" w:bidi="zh-CN"/>
      </w:rPr>
    </w:lvl>
    <w:lvl w:ilvl="5">
      <w:start w:val="0"/>
      <w:numFmt w:val="bullet"/>
      <w:lvlText w:val="•"/>
      <w:lvlJc w:val="left"/>
      <w:pPr>
        <w:ind w:left="5043" w:hanging="329"/>
      </w:pPr>
      <w:rPr>
        <w:rFonts w:hint="default"/>
        <w:lang w:val="zh-CN" w:eastAsia="zh-CN" w:bidi="zh-CN"/>
      </w:rPr>
    </w:lvl>
    <w:lvl w:ilvl="6">
      <w:start w:val="0"/>
      <w:numFmt w:val="bullet"/>
      <w:lvlText w:val="•"/>
      <w:lvlJc w:val="left"/>
      <w:pPr>
        <w:ind w:left="5839" w:hanging="329"/>
      </w:pPr>
      <w:rPr>
        <w:rFonts w:hint="default"/>
        <w:lang w:val="zh-CN" w:eastAsia="zh-CN" w:bidi="zh-CN"/>
      </w:rPr>
    </w:lvl>
    <w:lvl w:ilvl="7">
      <w:start w:val="0"/>
      <w:numFmt w:val="bullet"/>
      <w:lvlText w:val="•"/>
      <w:lvlJc w:val="left"/>
      <w:pPr>
        <w:ind w:left="6636" w:hanging="329"/>
      </w:pPr>
      <w:rPr>
        <w:rFonts w:hint="default"/>
        <w:lang w:val="zh-CN" w:eastAsia="zh-CN" w:bidi="zh-CN"/>
      </w:rPr>
    </w:lvl>
    <w:lvl w:ilvl="8">
      <w:start w:val="0"/>
      <w:numFmt w:val="bullet"/>
      <w:lvlText w:val="•"/>
      <w:lvlJc w:val="left"/>
      <w:pPr>
        <w:ind w:left="7432" w:hanging="329"/>
      </w:pPr>
      <w:rPr>
        <w:rFonts w:hint="default"/>
        <w:lang w:val="zh-CN" w:eastAsia="zh-CN" w:bidi="zh-CN"/>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仿宋" w:hAnsi="仿宋" w:eastAsia="仿宋" w:cs="仿宋"/>
      <w:lang w:val="zh-CN" w:eastAsia="zh-CN" w:bidi="zh-CN"/>
    </w:rPr>
  </w:style>
  <w:style w:styleId="BodyText" w:type="paragraph">
    <w:name w:val="Body Text"/>
    <w:basedOn w:val="Normal"/>
    <w:uiPriority w:val="1"/>
    <w:qFormat/>
    <w:pPr>
      <w:ind w:left="101"/>
    </w:pPr>
    <w:rPr>
      <w:rFonts w:ascii="仿宋" w:hAnsi="仿宋" w:eastAsia="仿宋" w:cs="仿宋"/>
      <w:sz w:val="32"/>
      <w:szCs w:val="32"/>
      <w:lang w:val="zh-CN" w:eastAsia="zh-CN" w:bidi="zh-CN"/>
    </w:rPr>
  </w:style>
  <w:style w:styleId="ListParagraph" w:type="paragraph">
    <w:name w:val="List Paragraph"/>
    <w:basedOn w:val="Normal"/>
    <w:uiPriority w:val="1"/>
    <w:qFormat/>
    <w:pPr>
      <w:spacing w:before="190"/>
      <w:ind w:left="101" w:hanging="322"/>
    </w:pPr>
    <w:rPr>
      <w:rFonts w:ascii="仿宋" w:hAnsi="仿宋" w:eastAsia="仿宋" w:cs="仿宋"/>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hyperlink" Target="mailto:leiyongchao333@126.com" TargetMode="Externa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Administrator.JYT-20161028RSY</dc:creator>
  <dcterms:created xsi:type="dcterms:W3CDTF">2021-05-17T01:22:49Z</dcterms:created>
  <dcterms:modified xsi:type="dcterms:W3CDTF">2021-05-17T01:22:49Z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2021-05-13T00:00:00Z</vt:filetime>
  </property>
  <property fmtid="{D5CDD505-2E9C-101B-9397-08002B2CF9AE}" pid="3" name="Creator">
    <vt:lpwstr>WPS 文字</vt:lpwstr>
  </property>
  <property fmtid="{D5CDD505-2E9C-101B-9397-08002B2CF9AE}" pid="4" name="LastSaved">
    <vt:filetime>2021-05-17T00:00:00Z</vt:filetime>
  </property>
</Properties>
</file>